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340"/>
        <w:gridCol w:w="2750"/>
        <w:gridCol w:w="1739"/>
        <w:gridCol w:w="1421"/>
      </w:tblGrid>
      <w:tr w:rsidR="00F21374" w:rsidRPr="00350127" w:rsidTr="0054759D">
        <w:trPr>
          <w:tblHeader/>
        </w:trPr>
        <w:tc>
          <w:tcPr>
            <w:tcW w:w="1606" w:type="dxa"/>
            <w:shd w:val="clear" w:color="auto" w:fill="auto"/>
          </w:tcPr>
          <w:p w:rsidR="00F21374" w:rsidRPr="00350127" w:rsidRDefault="00173C79" w:rsidP="0054759D">
            <w:pPr>
              <w:jc w:val="center"/>
              <w:rPr>
                <w:b/>
              </w:rPr>
            </w:pPr>
            <w:bookmarkStart w:id="0" w:name="_GoBack"/>
            <w:bookmarkEnd w:id="0"/>
            <w:r>
              <w:rPr>
                <w:b/>
              </w:rPr>
              <w:t xml:space="preserve"> </w:t>
            </w:r>
          </w:p>
          <w:p w:rsidR="004629B9" w:rsidRPr="00350127" w:rsidRDefault="004629B9" w:rsidP="0054759D">
            <w:pPr>
              <w:jc w:val="center"/>
              <w:rPr>
                <w:b/>
              </w:rPr>
            </w:pPr>
          </w:p>
          <w:p w:rsidR="004629B9" w:rsidRPr="00350127" w:rsidRDefault="004629B9" w:rsidP="0054759D">
            <w:pPr>
              <w:jc w:val="center"/>
              <w:rPr>
                <w:b/>
              </w:rPr>
            </w:pPr>
          </w:p>
          <w:p w:rsidR="004629B9" w:rsidRPr="00350127" w:rsidRDefault="004629B9" w:rsidP="004629B9">
            <w:pPr>
              <w:rPr>
                <w:b/>
              </w:rPr>
            </w:pPr>
          </w:p>
        </w:tc>
        <w:tc>
          <w:tcPr>
            <w:tcW w:w="1340" w:type="dxa"/>
            <w:shd w:val="clear" w:color="auto" w:fill="auto"/>
          </w:tcPr>
          <w:p w:rsidR="00F21374" w:rsidRPr="00350127" w:rsidRDefault="00F21374" w:rsidP="0054759D">
            <w:pPr>
              <w:jc w:val="center"/>
              <w:rPr>
                <w:b/>
              </w:rPr>
            </w:pPr>
            <w:r w:rsidRPr="00350127">
              <w:rPr>
                <w:b/>
              </w:rPr>
              <w:t>Type of Tax</w:t>
            </w:r>
          </w:p>
        </w:tc>
        <w:tc>
          <w:tcPr>
            <w:tcW w:w="2750" w:type="dxa"/>
            <w:shd w:val="clear" w:color="auto" w:fill="auto"/>
          </w:tcPr>
          <w:p w:rsidR="00F21374" w:rsidRPr="00350127" w:rsidRDefault="00F21374" w:rsidP="0054759D">
            <w:pPr>
              <w:jc w:val="center"/>
              <w:rPr>
                <w:b/>
              </w:rPr>
            </w:pPr>
            <w:r w:rsidRPr="00350127">
              <w:rPr>
                <w:b/>
              </w:rPr>
              <w:t>Effect of EGTRRA on Pick-up Tax and Size of Gross Estate</w:t>
            </w:r>
          </w:p>
        </w:tc>
        <w:tc>
          <w:tcPr>
            <w:tcW w:w="1739" w:type="dxa"/>
            <w:shd w:val="clear" w:color="auto" w:fill="auto"/>
          </w:tcPr>
          <w:p w:rsidR="00F21374" w:rsidRPr="00350127" w:rsidRDefault="00F21374" w:rsidP="0054759D">
            <w:pPr>
              <w:jc w:val="center"/>
              <w:rPr>
                <w:b/>
              </w:rPr>
            </w:pPr>
            <w:r w:rsidRPr="00350127">
              <w:rPr>
                <w:b/>
              </w:rPr>
              <w:t xml:space="preserve"> Legislation </w:t>
            </w:r>
          </w:p>
          <w:p w:rsidR="00F21374" w:rsidRPr="00350127" w:rsidRDefault="00F21374" w:rsidP="0054759D">
            <w:pPr>
              <w:jc w:val="center"/>
              <w:rPr>
                <w:b/>
              </w:rPr>
            </w:pPr>
            <w:r w:rsidRPr="00350127">
              <w:rPr>
                <w:b/>
              </w:rPr>
              <w:t>Affecting State Death Tax</w:t>
            </w:r>
          </w:p>
        </w:tc>
        <w:tc>
          <w:tcPr>
            <w:tcW w:w="1421" w:type="dxa"/>
            <w:shd w:val="clear" w:color="auto" w:fill="auto"/>
          </w:tcPr>
          <w:p w:rsidR="00F21374" w:rsidRPr="003D6BB3" w:rsidRDefault="00F64377" w:rsidP="00F64377">
            <w:pPr>
              <w:jc w:val="center"/>
              <w:rPr>
                <w:b/>
                <w:highlight w:val="yellow"/>
              </w:rPr>
            </w:pPr>
            <w:r>
              <w:rPr>
                <w:b/>
              </w:rPr>
              <w:t xml:space="preserve">2017 </w:t>
            </w:r>
            <w:r w:rsidR="00F21374" w:rsidRPr="001B312F">
              <w:rPr>
                <w:b/>
              </w:rPr>
              <w:t>State Death Tax Threshold</w:t>
            </w:r>
          </w:p>
        </w:tc>
      </w:tr>
      <w:tr w:rsidR="00F21374" w:rsidRPr="00442330" w:rsidTr="0054759D">
        <w:tc>
          <w:tcPr>
            <w:tcW w:w="1606" w:type="dxa"/>
            <w:shd w:val="clear" w:color="auto" w:fill="auto"/>
          </w:tcPr>
          <w:p w:rsidR="00F21374" w:rsidRPr="00442330" w:rsidRDefault="00F21374" w:rsidP="0054759D">
            <w:r w:rsidRPr="00442330">
              <w:t>Alabama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AL ST § 40-15-2.</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Alaska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AK ST</w:t>
                </w:r>
              </w:smartTag>
            </w:smartTag>
            <w:r w:rsidRPr="00442330">
              <w:t xml:space="preserve"> § 43.31.011.</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Arizona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was tied to federal state death tax credit.</w:t>
            </w:r>
          </w:p>
          <w:p w:rsidR="00F21374" w:rsidRPr="00442330" w:rsidRDefault="00F21374" w:rsidP="0054759D">
            <w:smartTag w:uri="urn:schemas-microsoft-com:office:smarttags" w:element="Street">
              <w:smartTag w:uri="urn:schemas-microsoft-com:office:smarttags" w:element="address">
                <w:r w:rsidRPr="00442330">
                  <w:t>AZ ST</w:t>
                </w:r>
              </w:smartTag>
            </w:smartTag>
            <w:r w:rsidRPr="00442330">
              <w:t xml:space="preserve"> §§ 42-4051; 42-4001(2), (12).</w:t>
            </w:r>
          </w:p>
          <w:p w:rsidR="00F21374" w:rsidRPr="00442330" w:rsidRDefault="00F21374" w:rsidP="0054759D"/>
          <w:p w:rsidR="00F21374" w:rsidRPr="00442330" w:rsidRDefault="00F21374" w:rsidP="0054759D">
            <w:r w:rsidRPr="00442330">
              <w:t xml:space="preserve">On </w:t>
            </w:r>
            <w:smartTag w:uri="urn:schemas-microsoft-com:office:smarttags" w:element="date">
              <w:smartTagPr>
                <w:attr w:name="ls" w:val="trans"/>
                <w:attr w:name="Month" w:val="5"/>
                <w:attr w:name="Day" w:val="8"/>
                <w:attr w:name="Year" w:val="2006"/>
              </w:smartTagPr>
              <w:r w:rsidRPr="00442330">
                <w:t>May 8, 2006</w:t>
              </w:r>
            </w:smartTag>
            <w:r w:rsidRPr="00442330">
              <w:t>, Governor Napolitano signed SB 1170 which permanently repealed Arizona’s state estate tax.</w:t>
            </w:r>
          </w:p>
        </w:tc>
        <w:tc>
          <w:tcPr>
            <w:tcW w:w="1739" w:type="dxa"/>
            <w:shd w:val="clear" w:color="auto" w:fill="auto"/>
          </w:tcPr>
          <w:p w:rsidR="00F21374" w:rsidRPr="00442330" w:rsidRDefault="00F21374" w:rsidP="0054759D">
            <w:pPr>
              <w:rPr>
                <w:u w:val="single"/>
              </w:rPr>
            </w:pPr>
          </w:p>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Arkansas</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AR ST</w:t>
                </w:r>
              </w:smartTag>
            </w:smartTag>
            <w:r w:rsidRPr="00442330">
              <w:t xml:space="preserve"> § 26-59-103; 26-59-106; 26-59-109, as amended March, 2003.</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California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 xml:space="preserve">Tax is tied to federal state death tax credit. CA  </w:t>
            </w:r>
            <w:smartTag w:uri="urn:schemas-microsoft-com:office:smarttags" w:element="stockticker">
              <w:r w:rsidRPr="00442330">
                <w:t>REV</w:t>
              </w:r>
            </w:smartTag>
            <w:r w:rsidRPr="00442330">
              <w:t xml:space="preserve"> &amp; TAX §§ 13302; 13411.</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Colorado</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 xml:space="preserve">Tax is tied to federal state death tax credit.  </w:t>
            </w:r>
            <w:smartTag w:uri="urn:schemas-microsoft-com:office:smarttags" w:element="Street">
              <w:smartTag w:uri="urn:schemas-microsoft-com:office:smarttags" w:element="address">
                <w:r w:rsidRPr="00442330">
                  <w:t>CO ST</w:t>
                </w:r>
              </w:smartTag>
            </w:smartTag>
            <w:r w:rsidRPr="00442330">
              <w:t xml:space="preserve"> §§ 39-23.5-103; 39-23.5-102.</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smartTag w:uri="urn:schemas-microsoft-com:office:smarttags" w:element="State">
              <w:smartTag w:uri="urn:schemas-microsoft-com:office:smarttags" w:element="place">
                <w:r w:rsidRPr="00442330">
                  <w:t>Connecticut</w:t>
                </w:r>
              </w:smartTag>
            </w:smartTag>
          </w:p>
        </w:tc>
        <w:tc>
          <w:tcPr>
            <w:tcW w:w="1340" w:type="dxa"/>
            <w:shd w:val="clear" w:color="auto" w:fill="auto"/>
          </w:tcPr>
          <w:p w:rsidR="00F21374" w:rsidRPr="00442330" w:rsidRDefault="00F21374" w:rsidP="0054759D">
            <w:r w:rsidRPr="00442330">
              <w:t>Separate Estate Tax</w:t>
            </w:r>
          </w:p>
        </w:tc>
        <w:tc>
          <w:tcPr>
            <w:tcW w:w="2750" w:type="dxa"/>
            <w:shd w:val="clear" w:color="auto" w:fill="auto"/>
          </w:tcPr>
          <w:p w:rsidR="00F21374" w:rsidRPr="00442330" w:rsidRDefault="00F21374" w:rsidP="0054759D">
            <w:pPr>
              <w:rPr>
                <w:highlight w:val="yellow"/>
              </w:rPr>
            </w:pPr>
            <w:r w:rsidRPr="00442330">
              <w:t xml:space="preserve">As part of the two year budget which became law on </w:t>
            </w:r>
            <w:smartTag w:uri="urn:schemas-microsoft-com:office:smarttags" w:element="date">
              <w:smartTagPr>
                <w:attr w:name="ls" w:val="trans"/>
                <w:attr w:name="Month" w:val="9"/>
                <w:attr w:name="Day" w:val="8"/>
                <w:attr w:name="Year" w:val="2009"/>
              </w:smartTagPr>
              <w:r w:rsidRPr="00442330">
                <w:t>September 8, 2009</w:t>
              </w:r>
            </w:smartTag>
            <w:r w:rsidRPr="00442330">
              <w:t xml:space="preserve">, the exemption for the separate estate and gift taxes was increased to $3.5 million, effective </w:t>
            </w:r>
            <w:smartTag w:uri="urn:schemas-microsoft-com:office:smarttags" w:element="date">
              <w:smartTagPr>
                <w:attr w:name="ls" w:val="trans"/>
                <w:attr w:name="Month" w:val="1"/>
                <w:attr w:name="Day" w:val="1"/>
                <w:attr w:name="Year" w:val="2010"/>
              </w:smartTagPr>
              <w:r w:rsidRPr="00442330">
                <w:t>January 1, 2010</w:t>
              </w:r>
            </w:smartTag>
            <w:r w:rsidRPr="00442330">
              <w:t xml:space="preserve">, the tax </w:t>
            </w:r>
            <w:r w:rsidRPr="00442330">
              <w:lastRenderedPageBreak/>
              <w:t>rates were reduced to a spread of 7.2% to 12%, and effective for decedents dying on or after January 1, 2010, the Connecticut tax is due six months after the date of death. CT ST § 12-391. In May 2011, the threshold was lowered to $2 million retroactive to January 1, 2011.</w:t>
            </w:r>
          </w:p>
        </w:tc>
        <w:tc>
          <w:tcPr>
            <w:tcW w:w="1739" w:type="dxa"/>
            <w:shd w:val="clear" w:color="auto" w:fill="auto"/>
          </w:tcPr>
          <w:p w:rsidR="00F21374" w:rsidRPr="00144872" w:rsidRDefault="00144872" w:rsidP="0054759D">
            <w:pPr>
              <w:rPr>
                <w:highlight w:val="yellow"/>
              </w:rPr>
            </w:pPr>
            <w:r w:rsidRPr="0054759D">
              <w:lastRenderedPageBreak/>
              <w:t xml:space="preserve">On July 10, 2015, the Connecticut Governor signed Senate Bill 1502 which implemented </w:t>
            </w:r>
            <w:r w:rsidRPr="0054759D">
              <w:lastRenderedPageBreak/>
              <w:t>the biannual budget.  The budget bill included a $20 million dollar cap on the amount of Connecticut estate and gift tax for both residents and nonresidents.  This cap will be effective for decedents dying on or after January 1, 2016.  It is estimated that the tax cap will affect taxable estates greater than $170.5 million.  The Connecticut exemption remains at $2 million.</w:t>
            </w:r>
          </w:p>
        </w:tc>
        <w:tc>
          <w:tcPr>
            <w:tcW w:w="1421" w:type="dxa"/>
            <w:shd w:val="clear" w:color="auto" w:fill="auto"/>
          </w:tcPr>
          <w:p w:rsidR="00F21374" w:rsidRPr="00442330" w:rsidRDefault="00F21374" w:rsidP="0054759D">
            <w:r w:rsidRPr="00442330">
              <w:lastRenderedPageBreak/>
              <w:t>$2,000,000</w:t>
            </w:r>
          </w:p>
        </w:tc>
      </w:tr>
      <w:tr w:rsidR="00F21374" w:rsidRPr="00442330" w:rsidTr="0054759D">
        <w:tc>
          <w:tcPr>
            <w:tcW w:w="1606" w:type="dxa"/>
            <w:shd w:val="clear" w:color="auto" w:fill="auto"/>
          </w:tcPr>
          <w:p w:rsidR="00F21374" w:rsidRPr="00845744" w:rsidRDefault="00F21374" w:rsidP="0054759D">
            <w:r w:rsidRPr="00845744">
              <w:t>Delaware</w:t>
            </w:r>
          </w:p>
        </w:tc>
        <w:tc>
          <w:tcPr>
            <w:tcW w:w="1340" w:type="dxa"/>
            <w:shd w:val="clear" w:color="auto" w:fill="auto"/>
          </w:tcPr>
          <w:p w:rsidR="00F21374" w:rsidRPr="00845744" w:rsidRDefault="00F21374" w:rsidP="0054759D">
            <w:r w:rsidRPr="00845744">
              <w:t>Pick up Only</w:t>
            </w:r>
          </w:p>
          <w:p w:rsidR="00F21374" w:rsidRPr="00845744" w:rsidRDefault="00F21374" w:rsidP="0054759D">
            <w:pPr>
              <w:jc w:val="center"/>
            </w:pPr>
          </w:p>
        </w:tc>
        <w:tc>
          <w:tcPr>
            <w:tcW w:w="2750" w:type="dxa"/>
            <w:shd w:val="clear" w:color="auto" w:fill="auto"/>
          </w:tcPr>
          <w:p w:rsidR="00F21374" w:rsidRPr="00845744" w:rsidRDefault="00F21374" w:rsidP="0054759D">
            <w:r w:rsidRPr="00845744">
              <w:t xml:space="preserve">For decedents dying after June 30, 2009. </w:t>
            </w:r>
          </w:p>
          <w:p w:rsidR="00F21374" w:rsidRPr="00845744" w:rsidRDefault="00F21374" w:rsidP="0054759D"/>
          <w:p w:rsidR="00F21374" w:rsidRPr="00845744" w:rsidRDefault="00F21374" w:rsidP="0054759D">
            <w:r w:rsidRPr="00845744">
              <w:t>The federal deduction for state death taxes is not taken into account in calculating the state tax.</w:t>
            </w:r>
          </w:p>
          <w:p w:rsidR="00F21374" w:rsidRPr="00845744" w:rsidRDefault="00F21374" w:rsidP="0054759D">
            <w:r w:rsidRPr="00845744">
              <w:t>DE ST TI 30 §§ 1502(c)(2).</w:t>
            </w:r>
          </w:p>
          <w:p w:rsidR="00F21374" w:rsidRPr="00845744" w:rsidRDefault="00F21374" w:rsidP="0054759D"/>
          <w:p w:rsidR="00F21374" w:rsidRPr="00845744" w:rsidRDefault="00F21374" w:rsidP="0054759D"/>
        </w:tc>
        <w:tc>
          <w:tcPr>
            <w:tcW w:w="1739" w:type="dxa"/>
            <w:shd w:val="clear" w:color="auto" w:fill="auto"/>
          </w:tcPr>
          <w:p w:rsidR="00F21374" w:rsidRPr="00845744" w:rsidRDefault="00F21374" w:rsidP="0054759D">
            <w:r w:rsidRPr="00845744">
              <w:t>On March 28, 2013, the Governor signed HB 51 to eliminate the four year sunset provision that originally applied to the tax as enacted in June 2009.</w:t>
            </w:r>
          </w:p>
        </w:tc>
        <w:tc>
          <w:tcPr>
            <w:tcW w:w="1421" w:type="dxa"/>
            <w:shd w:val="clear" w:color="auto" w:fill="auto"/>
          </w:tcPr>
          <w:p w:rsidR="00F21374" w:rsidRPr="00845744" w:rsidRDefault="00F64377" w:rsidP="0054759D">
            <w:r w:rsidRPr="00845744">
              <w:t>$5,49</w:t>
            </w:r>
            <w:r w:rsidR="00F21374" w:rsidRPr="00845744">
              <w:t>0,000 (indexed for inflation)</w:t>
            </w:r>
          </w:p>
        </w:tc>
      </w:tr>
      <w:tr w:rsidR="00F21374" w:rsidRPr="00442330" w:rsidTr="0054759D">
        <w:tc>
          <w:tcPr>
            <w:tcW w:w="1606" w:type="dxa"/>
            <w:shd w:val="clear" w:color="auto" w:fill="auto"/>
          </w:tcPr>
          <w:p w:rsidR="00F21374" w:rsidRPr="00845744" w:rsidRDefault="00F21374" w:rsidP="0054759D">
            <w:r w:rsidRPr="00845744">
              <w:t>District of Columbia</w:t>
            </w:r>
          </w:p>
        </w:tc>
        <w:tc>
          <w:tcPr>
            <w:tcW w:w="1340" w:type="dxa"/>
            <w:shd w:val="clear" w:color="auto" w:fill="auto"/>
          </w:tcPr>
          <w:p w:rsidR="00F21374" w:rsidRPr="00845744" w:rsidRDefault="00F21374" w:rsidP="0054759D">
            <w:r w:rsidRPr="00845744">
              <w:t>Pick-up Only</w:t>
            </w:r>
          </w:p>
        </w:tc>
        <w:tc>
          <w:tcPr>
            <w:tcW w:w="2750" w:type="dxa"/>
            <w:shd w:val="clear" w:color="auto" w:fill="auto"/>
          </w:tcPr>
          <w:p w:rsidR="00F21374" w:rsidRPr="00845744" w:rsidRDefault="00F21374" w:rsidP="0054759D">
            <w:r w:rsidRPr="00845744">
              <w:t xml:space="preserve">Tax frozen at federal state death tax credit in effect </w:t>
            </w:r>
            <w:r w:rsidRPr="00845744">
              <w:lastRenderedPageBreak/>
              <w:t xml:space="preserve">on </w:t>
            </w:r>
            <w:smartTag w:uri="urn:schemas-microsoft-com:office:smarttags" w:element="date">
              <w:smartTagPr>
                <w:attr w:name="ls" w:val="trans"/>
                <w:attr w:name="Month" w:val="1"/>
                <w:attr w:name="Day" w:val="1"/>
                <w:attr w:name="Year" w:val="2001"/>
              </w:smartTagPr>
              <w:r w:rsidRPr="00845744">
                <w:t>January 1, 2001</w:t>
              </w:r>
            </w:smartTag>
            <w:r w:rsidRPr="00845744">
              <w:t>.</w:t>
            </w:r>
          </w:p>
          <w:p w:rsidR="00F21374" w:rsidRPr="00845744" w:rsidRDefault="00F21374" w:rsidP="0054759D"/>
          <w:p w:rsidR="00F21374" w:rsidRPr="00845744" w:rsidRDefault="00F21374" w:rsidP="0054759D">
            <w:r w:rsidRPr="00845744">
              <w:t>In 2003, tax imposed only on estates exceeding EGTRRA applicable exclusion amount. Thereafter, tax imposed on estates exceeding $1 million.</w:t>
            </w:r>
          </w:p>
          <w:p w:rsidR="00F21374" w:rsidRPr="00845744" w:rsidRDefault="00F21374" w:rsidP="0054759D">
            <w:r w:rsidRPr="00845744">
              <w:t xml:space="preserve">DC CODE §§ 47-3702; 47-3701; approved by Mayor on </w:t>
            </w:r>
            <w:smartTag w:uri="urn:schemas-microsoft-com:office:smarttags" w:element="date">
              <w:smartTagPr>
                <w:attr w:name="ls" w:val="trans"/>
                <w:attr w:name="Month" w:val="6"/>
                <w:attr w:name="Day" w:val="20"/>
                <w:attr w:name="Year" w:val="2003"/>
              </w:smartTagPr>
              <w:r w:rsidRPr="00845744">
                <w:t>June 20, 2003</w:t>
              </w:r>
            </w:smartTag>
            <w:r w:rsidRPr="00845744">
              <w:t xml:space="preserve">; effective retroactively to death occurring on and after </w:t>
            </w:r>
            <w:smartTag w:uri="urn:schemas-microsoft-com:office:smarttags" w:element="date">
              <w:smartTagPr>
                <w:attr w:name="ls" w:val="trans"/>
                <w:attr w:name="Month" w:val="1"/>
                <w:attr w:name="Day" w:val="1"/>
                <w:attr w:name="Year" w:val="2003"/>
              </w:smartTagPr>
              <w:r w:rsidRPr="00845744">
                <w:t>January 1, 2003</w:t>
              </w:r>
            </w:smartTag>
            <w:r w:rsidRPr="00845744">
              <w:t>.</w:t>
            </w:r>
          </w:p>
          <w:p w:rsidR="00F21374" w:rsidRPr="00845744" w:rsidRDefault="00F21374" w:rsidP="0054759D"/>
          <w:p w:rsidR="00F21374" w:rsidRPr="00845744" w:rsidRDefault="00F21374" w:rsidP="0054759D">
            <w:r w:rsidRPr="00845744">
              <w:t>No separate state QTIP election.</w:t>
            </w:r>
          </w:p>
        </w:tc>
        <w:tc>
          <w:tcPr>
            <w:tcW w:w="1739" w:type="dxa"/>
            <w:shd w:val="clear" w:color="auto" w:fill="auto"/>
          </w:tcPr>
          <w:p w:rsidR="00F21374" w:rsidRPr="00845744" w:rsidRDefault="00F21374" w:rsidP="004F0A96">
            <w:r w:rsidRPr="00845744">
              <w:lastRenderedPageBreak/>
              <w:t xml:space="preserve">On June 24, 2015, the D.C. </w:t>
            </w:r>
            <w:r w:rsidRPr="00845744">
              <w:lastRenderedPageBreak/>
              <w:t>Council approved changes to the D.C. Estate Tax.  The changes include  possible increases in the D.C. estate tax threshold to $2 million in 2016 and to the federal threshold of $5 million indexed for inflation in 2018 or later.  Both increases are subject to the District meeting or exceeding certain revenue targets</w:t>
            </w:r>
            <w:r w:rsidR="004F0A96" w:rsidRPr="00845744">
              <w:t>. The target for increasing the exemption to $2,000,000 was met in 2016 and became effective in 2017.</w:t>
            </w:r>
          </w:p>
        </w:tc>
        <w:tc>
          <w:tcPr>
            <w:tcW w:w="1421" w:type="dxa"/>
            <w:shd w:val="clear" w:color="auto" w:fill="auto"/>
          </w:tcPr>
          <w:p w:rsidR="00F21374" w:rsidRPr="00845744" w:rsidRDefault="004F0A96" w:rsidP="0054759D">
            <w:r w:rsidRPr="00845744">
              <w:lastRenderedPageBreak/>
              <w:t>$2</w:t>
            </w:r>
            <w:r w:rsidR="00F21374" w:rsidRPr="00845744">
              <w:t>,000,000</w:t>
            </w:r>
          </w:p>
        </w:tc>
      </w:tr>
      <w:tr w:rsidR="00F21374" w:rsidRPr="00442330" w:rsidTr="0054759D">
        <w:tc>
          <w:tcPr>
            <w:tcW w:w="1606" w:type="dxa"/>
            <w:shd w:val="clear" w:color="auto" w:fill="auto"/>
          </w:tcPr>
          <w:p w:rsidR="00F21374" w:rsidRPr="00442330" w:rsidRDefault="00F21374" w:rsidP="0054759D">
            <w:smartTag w:uri="urn:schemas-microsoft-com:office:smarttags" w:element="place">
              <w:smartTag w:uri="urn:schemas-microsoft-com:office:smarttags" w:element="State">
                <w:r w:rsidRPr="00442330">
                  <w:t>Florida</w:t>
                </w:r>
              </w:smartTag>
            </w:smartTag>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FL ST</w:t>
                </w:r>
              </w:smartTag>
            </w:smartTag>
            <w:r w:rsidRPr="00442330">
              <w:t xml:space="preserve"> § 198.02; FL CONST. Art. </w:t>
            </w:r>
            <w:smartTag w:uri="urn:schemas-microsoft-com:office:smarttags" w:element="stockticker">
              <w:r w:rsidRPr="00442330">
                <w:t>VII</w:t>
              </w:r>
            </w:smartTag>
            <w:r w:rsidRPr="00442330">
              <w:t>, Sec. 5</w:t>
            </w:r>
          </w:p>
        </w:tc>
        <w:tc>
          <w:tcPr>
            <w:tcW w:w="1739" w:type="dxa"/>
            <w:shd w:val="clear" w:color="auto" w:fill="auto"/>
          </w:tcPr>
          <w:p w:rsidR="00F21374" w:rsidRPr="00925B25"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smartTag w:uri="urn:schemas-microsoft-com:office:smarttags" w:element="country-region">
              <w:smartTag w:uri="urn:schemas-microsoft-com:office:smarttags" w:element="place">
                <w:r w:rsidRPr="00442330">
                  <w:t>Georgia</w:t>
                </w:r>
              </w:smartTag>
            </w:smartTag>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GA ST</w:t>
                </w:r>
              </w:smartTag>
            </w:smartTag>
            <w:r w:rsidRPr="00442330">
              <w:t xml:space="preserve"> § 48-12-2.</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845744" w:rsidRDefault="00F21374" w:rsidP="0054759D">
            <w:r w:rsidRPr="00845744">
              <w:t>Hawaii</w:t>
            </w:r>
          </w:p>
        </w:tc>
        <w:tc>
          <w:tcPr>
            <w:tcW w:w="1340" w:type="dxa"/>
            <w:shd w:val="clear" w:color="auto" w:fill="auto"/>
          </w:tcPr>
          <w:p w:rsidR="00F21374" w:rsidRPr="00845744" w:rsidRDefault="00F21374" w:rsidP="0054759D">
            <w:r w:rsidRPr="00845744">
              <w:t>Modified Pick-up Tax</w:t>
            </w:r>
          </w:p>
        </w:tc>
        <w:tc>
          <w:tcPr>
            <w:tcW w:w="2750" w:type="dxa"/>
            <w:shd w:val="clear" w:color="auto" w:fill="auto"/>
          </w:tcPr>
          <w:p w:rsidR="00F21374" w:rsidRPr="00845744" w:rsidRDefault="00F21374" w:rsidP="0054759D">
            <w:r w:rsidRPr="00845744">
              <w:t>Tax was tied to federal state death tax credit.</w:t>
            </w:r>
          </w:p>
          <w:p w:rsidR="00F21374" w:rsidRPr="00845744" w:rsidRDefault="00F21374" w:rsidP="0054759D">
            <w:r w:rsidRPr="00845744">
              <w:t xml:space="preserve">HI ST §§ </w:t>
            </w:r>
            <w:bookmarkStart w:id="1" w:name="OLE_LINK2"/>
            <w:bookmarkStart w:id="2" w:name="OLE_LINK3"/>
            <w:r w:rsidRPr="00845744">
              <w:t>236D-3</w:t>
            </w:r>
            <w:bookmarkEnd w:id="1"/>
            <w:bookmarkEnd w:id="2"/>
            <w:r w:rsidRPr="00845744">
              <w:t>; 236D-2; 236D-B</w:t>
            </w:r>
          </w:p>
          <w:p w:rsidR="00F21374" w:rsidRPr="00845744" w:rsidRDefault="00F21374" w:rsidP="0054759D"/>
          <w:p w:rsidR="00F21374" w:rsidRPr="00845744" w:rsidRDefault="00F21374" w:rsidP="0054759D">
            <w:r w:rsidRPr="00845744">
              <w:t xml:space="preserve">The Hawaii Legislature on April 30, 2010 overrode the Governor’s veto of HB 2866 to impose a Hawaii estate tax on residents and also on the Hawaii assets of a non-resident  or a  non US citizen.    </w:t>
            </w:r>
          </w:p>
        </w:tc>
        <w:tc>
          <w:tcPr>
            <w:tcW w:w="1739" w:type="dxa"/>
            <w:shd w:val="clear" w:color="auto" w:fill="auto"/>
          </w:tcPr>
          <w:p w:rsidR="00F21374" w:rsidRPr="00845744" w:rsidRDefault="00F21374" w:rsidP="0054759D">
            <w:r w:rsidRPr="00845744">
              <w:t>On May 2, 2012, the Hawaii legislature passed HB2328 which conforms the Hawaii estate tax exemption to the federal estate tax exemption for decedents dying after January 25, 2012.</w:t>
            </w:r>
          </w:p>
        </w:tc>
        <w:tc>
          <w:tcPr>
            <w:tcW w:w="1421" w:type="dxa"/>
            <w:shd w:val="clear" w:color="auto" w:fill="auto"/>
          </w:tcPr>
          <w:p w:rsidR="00F21374" w:rsidRPr="00845744" w:rsidRDefault="00F64377" w:rsidP="0054759D">
            <w:r w:rsidRPr="00845744">
              <w:t>$5,49</w:t>
            </w:r>
            <w:r w:rsidR="00F21374" w:rsidRPr="00845744">
              <w:t>0,000 (indexed for inflation for deaths occurring after January 25, 2012)</w:t>
            </w:r>
          </w:p>
          <w:p w:rsidR="00F21374" w:rsidRPr="00845744" w:rsidRDefault="00F21374" w:rsidP="0054759D">
            <w:pPr>
              <w:rPr>
                <w:b/>
              </w:rPr>
            </w:pPr>
          </w:p>
          <w:p w:rsidR="00F21374" w:rsidRPr="00845744" w:rsidRDefault="00F21374" w:rsidP="0054759D">
            <w:pPr>
              <w:rPr>
                <w:b/>
              </w:rPr>
            </w:pPr>
          </w:p>
        </w:tc>
      </w:tr>
      <w:tr w:rsidR="00F21374" w:rsidRPr="00442330" w:rsidTr="0054759D">
        <w:tc>
          <w:tcPr>
            <w:tcW w:w="1606" w:type="dxa"/>
            <w:shd w:val="clear" w:color="auto" w:fill="auto"/>
          </w:tcPr>
          <w:p w:rsidR="00F21374" w:rsidRPr="00442330" w:rsidRDefault="00F21374" w:rsidP="0054759D">
            <w:r w:rsidRPr="00442330">
              <w:t>Idaho</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ID ST</w:t>
                </w:r>
              </w:smartTag>
            </w:smartTag>
            <w:r w:rsidRPr="00442330">
              <w:t xml:space="preserve"> §§ 14-403; 14-402; 63-3004 (as amended Mar. 2002).</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Illinois</w:t>
            </w:r>
          </w:p>
        </w:tc>
        <w:tc>
          <w:tcPr>
            <w:tcW w:w="1340" w:type="dxa"/>
            <w:shd w:val="clear" w:color="auto" w:fill="auto"/>
          </w:tcPr>
          <w:p w:rsidR="00F21374" w:rsidRPr="00442330" w:rsidRDefault="00F21374" w:rsidP="0054759D">
            <w:r w:rsidRPr="00442330">
              <w:t>Modified Pick-up Only</w:t>
            </w:r>
          </w:p>
        </w:tc>
        <w:tc>
          <w:tcPr>
            <w:tcW w:w="2750" w:type="dxa"/>
            <w:shd w:val="clear" w:color="auto" w:fill="auto"/>
          </w:tcPr>
          <w:p w:rsidR="00F21374" w:rsidRPr="00442330" w:rsidRDefault="00F21374" w:rsidP="0054759D">
            <w:r w:rsidRPr="00442330">
              <w:t xml:space="preserve">On January 13, 2011, Governor Quinn signed Public Act 096-1496 which increased Illinois’ individual and corporate income tax rates.  Included in the Act was the reinstatement of </w:t>
            </w:r>
            <w:smartTag w:uri="urn:schemas-microsoft-com:office:smarttags" w:element="State">
              <w:smartTag w:uri="urn:schemas-microsoft-com:office:smarttags" w:element="place">
                <w:r w:rsidRPr="00442330">
                  <w:t>Illinois</w:t>
                </w:r>
              </w:smartTag>
            </w:smartTag>
            <w:r w:rsidRPr="00442330">
              <w:t>’ estate tax as of January 1, 2011 with a $2 million exemption.</w:t>
            </w:r>
          </w:p>
          <w:p w:rsidR="00F21374" w:rsidRPr="00442330" w:rsidRDefault="00F21374" w:rsidP="0054759D"/>
          <w:p w:rsidR="00F21374" w:rsidRPr="00442330" w:rsidRDefault="00F21374" w:rsidP="0054759D">
            <w:r w:rsidRPr="00442330">
              <w:t>Senate Bill 397 passed both the Illinois House and Senate as part of the tax package for Sears and CME on December 13, 2011.  It increased the exemption to $3.5 million for 2012 and $4 million for 2013 and beyond. Governor Quinn signed the legislation on December 16, 2011.</w:t>
            </w:r>
          </w:p>
          <w:p w:rsidR="00F21374" w:rsidRPr="00442330" w:rsidRDefault="00F21374" w:rsidP="0054759D">
            <w:r w:rsidRPr="00442330">
              <w:t xml:space="preserve"> </w:t>
            </w:r>
          </w:p>
          <w:p w:rsidR="00F21374" w:rsidRPr="00442330" w:rsidRDefault="00F21374" w:rsidP="0054759D">
            <w:r w:rsidRPr="00442330">
              <w:t>Illinois permits a separate state QTIP election, effective September 8, 2009.  35 ILCS 405/2(b-1).</w:t>
            </w:r>
          </w:p>
        </w:tc>
        <w:tc>
          <w:tcPr>
            <w:tcW w:w="1739" w:type="dxa"/>
            <w:shd w:val="clear" w:color="auto" w:fill="auto"/>
          </w:tcPr>
          <w:p w:rsidR="00F21374" w:rsidRPr="00442330" w:rsidRDefault="00F21374" w:rsidP="0054759D">
            <w:pPr>
              <w:rPr>
                <w:highlight w:val="yellow"/>
              </w:rPr>
            </w:pPr>
          </w:p>
        </w:tc>
        <w:tc>
          <w:tcPr>
            <w:tcW w:w="1421" w:type="dxa"/>
            <w:shd w:val="clear" w:color="auto" w:fill="auto"/>
          </w:tcPr>
          <w:p w:rsidR="00F21374" w:rsidRPr="00442330" w:rsidRDefault="00F21374" w:rsidP="0054759D">
            <w:r w:rsidRPr="00442330">
              <w:t>$4,000,000</w:t>
            </w:r>
          </w:p>
        </w:tc>
      </w:tr>
      <w:tr w:rsidR="00F21374" w:rsidRPr="00442330" w:rsidTr="0054759D">
        <w:tc>
          <w:tcPr>
            <w:tcW w:w="1606" w:type="dxa"/>
            <w:shd w:val="clear" w:color="auto" w:fill="auto"/>
          </w:tcPr>
          <w:p w:rsidR="00F21374" w:rsidRPr="00442330" w:rsidRDefault="00F21374" w:rsidP="0054759D">
            <w:r w:rsidRPr="00442330">
              <w:t>Indiana</w:t>
            </w:r>
          </w:p>
        </w:tc>
        <w:tc>
          <w:tcPr>
            <w:tcW w:w="1340" w:type="dxa"/>
            <w:shd w:val="clear" w:color="auto" w:fill="auto"/>
          </w:tcPr>
          <w:p w:rsidR="00F21374" w:rsidRPr="00442330" w:rsidRDefault="00F21374" w:rsidP="0054759D">
            <w:pPr>
              <w:rPr>
                <w:highlight w:val="yellow"/>
              </w:rPr>
            </w:pPr>
            <w:r w:rsidRPr="00442330">
              <w:t>None</w:t>
            </w:r>
          </w:p>
        </w:tc>
        <w:tc>
          <w:tcPr>
            <w:tcW w:w="2750" w:type="dxa"/>
            <w:shd w:val="clear" w:color="auto" w:fill="auto"/>
          </w:tcPr>
          <w:p w:rsidR="00F21374" w:rsidRPr="00442330" w:rsidRDefault="00F21374" w:rsidP="0054759D">
            <w:r w:rsidRPr="00442330">
              <w:t xml:space="preserve">Pick-up tax is tied to federal state death tax credit. </w:t>
            </w:r>
          </w:p>
          <w:p w:rsidR="00F21374" w:rsidRPr="00442330" w:rsidRDefault="00F21374" w:rsidP="0054759D">
            <w:smartTag w:uri="urn:schemas-microsoft-com:office:smarttags" w:element="Street">
              <w:smartTag w:uri="urn:schemas-microsoft-com:office:smarttags" w:element="address">
                <w:r w:rsidRPr="00442330">
                  <w:t>IN ST</w:t>
                </w:r>
              </w:smartTag>
            </w:smartTag>
            <w:r w:rsidRPr="00442330">
              <w:t xml:space="preserve"> §§ 6-4.1-11-2; 6-4.1-1-4. </w:t>
            </w:r>
          </w:p>
          <w:p w:rsidR="00F21374" w:rsidRPr="00442330" w:rsidRDefault="00F21374" w:rsidP="0054759D"/>
          <w:p w:rsidR="00F21374" w:rsidRPr="00442330" w:rsidRDefault="00F21374" w:rsidP="0054759D"/>
        </w:tc>
        <w:tc>
          <w:tcPr>
            <w:tcW w:w="1739" w:type="dxa"/>
            <w:shd w:val="clear" w:color="auto" w:fill="auto"/>
          </w:tcPr>
          <w:p w:rsidR="00F21374" w:rsidRPr="00442330" w:rsidRDefault="00F21374" w:rsidP="0054759D">
            <w:r w:rsidRPr="00442330">
              <w:t>On May 11, 2013, Governor Pence signed HB 1001 which repealed Indiana’s inheritance tax retroactively to January 1, 2013.  This replaced Indiana’s prior law enacted in 2012 which phased out Indiana’s inheritance tax over nine years beginning in 2013 and ending on December 31, 2021 and increased the inheritance tax exemption amounts retroactive to January 1, 2012.</w:t>
            </w:r>
          </w:p>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Iowa</w:t>
            </w:r>
          </w:p>
        </w:tc>
        <w:tc>
          <w:tcPr>
            <w:tcW w:w="1340" w:type="dxa"/>
            <w:shd w:val="clear" w:color="auto" w:fill="auto"/>
          </w:tcPr>
          <w:p w:rsidR="00F21374" w:rsidRPr="00442330" w:rsidRDefault="00F21374" w:rsidP="0054759D">
            <w:r w:rsidRPr="00442330">
              <w:t>Inheritance Tax</w:t>
            </w:r>
          </w:p>
        </w:tc>
        <w:tc>
          <w:tcPr>
            <w:tcW w:w="2750" w:type="dxa"/>
            <w:shd w:val="clear" w:color="auto" w:fill="auto"/>
          </w:tcPr>
          <w:p w:rsidR="00F21374" w:rsidRPr="001671C0" w:rsidRDefault="00F21374" w:rsidP="0054759D">
            <w:pPr>
              <w:rPr>
                <w:b/>
              </w:rPr>
            </w:pPr>
            <w:r w:rsidRPr="001671C0">
              <w:t>Pick-up tax is tied to federal state death tax credit. IA ST § 451.2; 451.13.  Effective July 1, 2010, Iowa specifically reenacted its pick-up estate tax for decedents dying after December 31, 2010.  Iowa Senate File 2380, reenacting IA ST § 451.2.</w:t>
            </w:r>
          </w:p>
          <w:p w:rsidR="00F21374" w:rsidRPr="001671C0" w:rsidRDefault="00F21374" w:rsidP="0054759D"/>
          <w:p w:rsidR="00F21374" w:rsidRPr="001671C0" w:rsidRDefault="00F21374" w:rsidP="001B312F">
            <w:r w:rsidRPr="001671C0">
              <w:t>Iowa has a separate inheritance tax on transfers to</w:t>
            </w:r>
            <w:r w:rsidR="001B312F" w:rsidRPr="001671C0">
              <w:t xml:space="preserve"> others than lineal ascendants and descendants.</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Kansas</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 xml:space="preserve">For decedents dying on or after </w:t>
            </w:r>
            <w:smartTag w:uri="urn:schemas-microsoft-com:office:smarttags" w:element="date">
              <w:smartTagPr>
                <w:attr w:name="ls" w:val="trans"/>
                <w:attr w:name="Month" w:val="1"/>
                <w:attr w:name="Day" w:val="1"/>
                <w:attr w:name="Year" w:val="2007"/>
              </w:smartTagPr>
              <w:r w:rsidRPr="00442330">
                <w:t>January 1, 2007</w:t>
              </w:r>
            </w:smartTag>
            <w:r w:rsidRPr="00442330">
              <w:t xml:space="preserve"> and through </w:t>
            </w:r>
            <w:smartTag w:uri="urn:schemas-microsoft-com:office:smarttags" w:element="date">
              <w:smartTagPr>
                <w:attr w:name="ls" w:val="trans"/>
                <w:attr w:name="Month" w:val="12"/>
                <w:attr w:name="Day" w:val="31"/>
                <w:attr w:name="Year" w:val="2009"/>
              </w:smartTagPr>
              <w:r w:rsidRPr="00442330">
                <w:t>December 31, 2009</w:t>
              </w:r>
            </w:smartTag>
            <w:r w:rsidRPr="00442330">
              <w:t xml:space="preserve">, Kansas had enacted a separate stand alone estate tax. </w:t>
            </w:r>
            <w:smartTag w:uri="urn:schemas-microsoft-com:office:smarttags" w:element="Street">
              <w:smartTag w:uri="urn:schemas-microsoft-com:office:smarttags" w:element="address">
                <w:r w:rsidRPr="00442330">
                  <w:t>KS ST</w:t>
                </w:r>
              </w:smartTag>
            </w:smartTag>
            <w:r w:rsidRPr="00442330">
              <w:t xml:space="preserve"> § 79-15, 203 </w:t>
            </w:r>
          </w:p>
        </w:tc>
        <w:tc>
          <w:tcPr>
            <w:tcW w:w="1739" w:type="dxa"/>
            <w:shd w:val="clear" w:color="auto" w:fill="auto"/>
          </w:tcPr>
          <w:p w:rsidR="00F21374" w:rsidRPr="00442330" w:rsidRDefault="00F21374" w:rsidP="0054759D">
            <w:pPr>
              <w:rPr>
                <w:highlight w:val="yellow"/>
              </w:rPr>
            </w:pPr>
          </w:p>
        </w:tc>
        <w:tc>
          <w:tcPr>
            <w:tcW w:w="1421" w:type="dxa"/>
            <w:shd w:val="clear" w:color="auto" w:fill="auto"/>
          </w:tcPr>
          <w:p w:rsidR="00F21374" w:rsidRPr="00442330" w:rsidRDefault="00F21374" w:rsidP="0054759D">
            <w:pPr>
              <w:rPr>
                <w:highlight w:val="yellow"/>
              </w:rPr>
            </w:pPr>
          </w:p>
        </w:tc>
      </w:tr>
      <w:tr w:rsidR="00F21374" w:rsidRPr="00442330" w:rsidTr="0054759D">
        <w:tc>
          <w:tcPr>
            <w:tcW w:w="1606" w:type="dxa"/>
            <w:shd w:val="clear" w:color="auto" w:fill="auto"/>
          </w:tcPr>
          <w:p w:rsidR="00F21374" w:rsidRPr="00442330" w:rsidRDefault="00F21374" w:rsidP="0054759D">
            <w:r w:rsidRPr="00442330">
              <w:t>Kentucky</w:t>
            </w:r>
          </w:p>
        </w:tc>
        <w:tc>
          <w:tcPr>
            <w:tcW w:w="1340" w:type="dxa"/>
            <w:shd w:val="clear" w:color="auto" w:fill="auto"/>
          </w:tcPr>
          <w:p w:rsidR="00F21374" w:rsidRPr="00442330" w:rsidRDefault="00F21374" w:rsidP="0054759D">
            <w:r w:rsidRPr="00442330">
              <w:t>Inheritance Tax</w:t>
            </w:r>
          </w:p>
        </w:tc>
        <w:tc>
          <w:tcPr>
            <w:tcW w:w="2750" w:type="dxa"/>
            <w:shd w:val="clear" w:color="auto" w:fill="auto"/>
          </w:tcPr>
          <w:p w:rsidR="00F21374" w:rsidRPr="00442330" w:rsidRDefault="00F21374" w:rsidP="0054759D">
            <w:r w:rsidRPr="00442330">
              <w:t xml:space="preserve">Pick-up tax is tied to federal state death tax credit.  KY ST § 140.130.  </w:t>
            </w:r>
          </w:p>
          <w:p w:rsidR="00F21374" w:rsidRPr="00442330" w:rsidRDefault="00F21374" w:rsidP="0054759D"/>
          <w:p w:rsidR="00F21374" w:rsidRPr="00442330" w:rsidRDefault="00F21374" w:rsidP="0054759D">
            <w:smartTag w:uri="urn:schemas-microsoft-com:office:smarttags" w:element="State">
              <w:smartTag w:uri="urn:schemas-microsoft-com:office:smarttags" w:element="place">
                <w:r w:rsidRPr="00442330">
                  <w:t>Kentucky</w:t>
                </w:r>
              </w:smartTag>
            </w:smartTag>
            <w:r w:rsidRPr="00442330">
              <w:t xml:space="preserve"> has not decoupled but has a separate inheritance tax and recognizes by administrative pronouncement a separate state QTIP election.</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Louisiana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Pick-up tax is tied to federal state death tax credit.  LA R.S. §§ 47:2431; 47:2432; 47:2434.</w:t>
            </w:r>
          </w:p>
          <w:p w:rsidR="00F21374" w:rsidRPr="00442330" w:rsidRDefault="00F21374" w:rsidP="0054759D"/>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smartTag w:uri="urn:schemas-microsoft-com:office:smarttags" w:element="State">
              <w:smartTag w:uri="urn:schemas-microsoft-com:office:smarttags" w:element="place">
                <w:r w:rsidRPr="00442330">
                  <w:t>Maine</w:t>
                </w:r>
              </w:smartTag>
            </w:smartTag>
          </w:p>
        </w:tc>
        <w:tc>
          <w:tcPr>
            <w:tcW w:w="1340" w:type="dxa"/>
            <w:shd w:val="clear" w:color="auto" w:fill="auto"/>
          </w:tcPr>
          <w:p w:rsidR="00F21374" w:rsidRPr="00442330" w:rsidRDefault="00F21374" w:rsidP="0054759D">
            <w:r w:rsidRPr="00442330">
              <w:t>Pick-up Only</w:t>
            </w:r>
          </w:p>
        </w:tc>
        <w:tc>
          <w:tcPr>
            <w:tcW w:w="2750" w:type="dxa"/>
            <w:shd w:val="clear" w:color="auto" w:fill="auto"/>
          </w:tcPr>
          <w:p w:rsidR="00F21374" w:rsidRPr="00845744" w:rsidRDefault="00F21374" w:rsidP="0054759D">
            <w:r w:rsidRPr="00845744">
              <w:t xml:space="preserve">For decedents dying after </w:t>
            </w:r>
            <w:smartTag w:uri="urn:schemas-microsoft-com:office:smarttags" w:element="date">
              <w:smartTagPr>
                <w:attr w:name="Year" w:val="2002"/>
                <w:attr w:name="Day" w:val="31"/>
                <w:attr w:name="Month" w:val="12"/>
                <w:attr w:name="ls" w:val="trans"/>
              </w:smartTagPr>
              <w:r w:rsidRPr="00845744">
                <w:t>December 31, 2002</w:t>
              </w:r>
            </w:smartTag>
            <w:r w:rsidRPr="00845744">
              <w:t xml:space="preserve">, pick-up tax was frozen at pre-EGTRRA federal state death tax credit, and imposed on estates exceeding applicable exclusion amount in effect on </w:t>
            </w:r>
            <w:smartTag w:uri="urn:schemas-microsoft-com:office:smarttags" w:element="date">
              <w:smartTagPr>
                <w:attr w:name="Year" w:val="2000"/>
                <w:attr w:name="Day" w:val="31"/>
                <w:attr w:name="Month" w:val="12"/>
                <w:attr w:name="ls" w:val="trans"/>
              </w:smartTagPr>
              <w:r w:rsidRPr="00845744">
                <w:t>December 31, 2000</w:t>
              </w:r>
            </w:smartTag>
            <w:r w:rsidRPr="00845744">
              <w:t xml:space="preserve"> (including scheduled increases under pre-EGTRRA law) (L.D. 1319; </w:t>
            </w:r>
            <w:smartTag w:uri="urn:schemas-microsoft-com:office:smarttags" w:element="date">
              <w:smartTagPr>
                <w:attr w:name="Year" w:val="2003"/>
                <w:attr w:name="Day" w:val="27"/>
                <w:attr w:name="Month" w:val="3"/>
                <w:attr w:name="ls" w:val="trans"/>
              </w:smartTagPr>
              <w:r w:rsidRPr="00845744">
                <w:t>March 27, 2003</w:t>
              </w:r>
            </w:smartTag>
            <w:r w:rsidRPr="00845744">
              <w:t>).</w:t>
            </w:r>
          </w:p>
          <w:p w:rsidR="00F21374" w:rsidRPr="00845744" w:rsidRDefault="00F21374" w:rsidP="0054759D"/>
          <w:p w:rsidR="00F21374" w:rsidRPr="00845744" w:rsidRDefault="00F21374" w:rsidP="0054759D">
            <w:pPr>
              <w:autoSpaceDE w:val="0"/>
              <w:autoSpaceDN w:val="0"/>
              <w:adjustRightInd w:val="0"/>
            </w:pPr>
            <w:r w:rsidRPr="00845744">
              <w:t>On June 20, 2011, Maine's governor signed Public Law Chapter 380 into law, which will increase the Maine estate tax exemption to $2 million in 2013 and beyond.  The rates were also changed, effective January 1, 2013, to 0% for Maine estates up to $2 million, 8% for Maine estates between $2 million and $5 million, 10 % between $ 5 million and $8 million and 12% for the excess over $8 million.</w:t>
            </w:r>
          </w:p>
          <w:p w:rsidR="00925B25" w:rsidRPr="00845744" w:rsidRDefault="00925B25" w:rsidP="0054759D">
            <w:pPr>
              <w:autoSpaceDE w:val="0"/>
              <w:autoSpaceDN w:val="0"/>
              <w:adjustRightInd w:val="0"/>
            </w:pPr>
          </w:p>
          <w:p w:rsidR="00A84D93" w:rsidRPr="00845744" w:rsidRDefault="00925B25" w:rsidP="0054759D">
            <w:pPr>
              <w:autoSpaceDE w:val="0"/>
              <w:autoSpaceDN w:val="0"/>
              <w:adjustRightInd w:val="0"/>
            </w:pPr>
            <w:r w:rsidRPr="00845744">
              <w:t>On June 30, 2015, the Maine legislature overrode the Governor’s veto of LD 1019, the budget bill for fiscal years 201</w:t>
            </w:r>
            <w:r w:rsidR="00A84D93" w:rsidRPr="00845744">
              <w:t>6 and 2017.  As part of the new law</w:t>
            </w:r>
            <w:r w:rsidRPr="00845744">
              <w:t>, the</w:t>
            </w:r>
            <w:r w:rsidR="00A84D93" w:rsidRPr="00845744">
              <w:t xml:space="preserve"> Maine</w:t>
            </w:r>
            <w:r w:rsidRPr="00845744">
              <w:t xml:space="preserve"> </w:t>
            </w:r>
            <w:r w:rsidR="00A84D93" w:rsidRPr="00845744">
              <w:t>E</w:t>
            </w:r>
            <w:r w:rsidRPr="00845744">
              <w:t xml:space="preserve">xemption is tagged to the federal exemption for decedents dying on or after January 1, 2016.  </w:t>
            </w:r>
          </w:p>
          <w:p w:rsidR="00A84D93" w:rsidRPr="00845744" w:rsidRDefault="00A84D93" w:rsidP="0054759D">
            <w:pPr>
              <w:autoSpaceDE w:val="0"/>
              <w:autoSpaceDN w:val="0"/>
              <w:adjustRightInd w:val="0"/>
            </w:pPr>
          </w:p>
          <w:p w:rsidR="00925B25" w:rsidRPr="00845744" w:rsidRDefault="00925B25" w:rsidP="0054759D">
            <w:pPr>
              <w:autoSpaceDE w:val="0"/>
              <w:autoSpaceDN w:val="0"/>
              <w:adjustRightInd w:val="0"/>
            </w:pPr>
            <w:r w:rsidRPr="00845744">
              <w:t>The tax rates will be:</w:t>
            </w:r>
          </w:p>
          <w:p w:rsidR="00925B25" w:rsidRPr="00845744" w:rsidRDefault="00925B25" w:rsidP="0054759D">
            <w:pPr>
              <w:autoSpaceDE w:val="0"/>
              <w:autoSpaceDN w:val="0"/>
              <w:adjustRightInd w:val="0"/>
            </w:pPr>
          </w:p>
          <w:p w:rsidR="00925B25" w:rsidRPr="00845744" w:rsidRDefault="00925B25" w:rsidP="0054759D">
            <w:pPr>
              <w:autoSpaceDE w:val="0"/>
              <w:autoSpaceDN w:val="0"/>
              <w:adjustRightInd w:val="0"/>
            </w:pPr>
            <w:r w:rsidRPr="00845744">
              <w:t>8% on the first $3 million above the Maine Exemption</w:t>
            </w:r>
            <w:r w:rsidR="00A84D93" w:rsidRPr="00845744">
              <w:t>;</w:t>
            </w:r>
          </w:p>
          <w:p w:rsidR="00925B25" w:rsidRPr="00845744" w:rsidRDefault="00925B25" w:rsidP="0054759D">
            <w:pPr>
              <w:autoSpaceDE w:val="0"/>
              <w:autoSpaceDN w:val="0"/>
              <w:adjustRightInd w:val="0"/>
            </w:pPr>
          </w:p>
          <w:p w:rsidR="00925B25" w:rsidRPr="00845744" w:rsidRDefault="00925B25" w:rsidP="0054759D">
            <w:pPr>
              <w:autoSpaceDE w:val="0"/>
              <w:autoSpaceDN w:val="0"/>
              <w:adjustRightInd w:val="0"/>
            </w:pPr>
            <w:r w:rsidRPr="00845744">
              <w:t xml:space="preserve">10% on the next $3 million </w:t>
            </w:r>
            <w:r w:rsidR="00A84D93" w:rsidRPr="00845744">
              <w:t>above the Maine Exemption; and</w:t>
            </w:r>
          </w:p>
          <w:p w:rsidR="00A84D93" w:rsidRPr="00845744" w:rsidRDefault="00A84D93" w:rsidP="0054759D">
            <w:pPr>
              <w:autoSpaceDE w:val="0"/>
              <w:autoSpaceDN w:val="0"/>
              <w:adjustRightInd w:val="0"/>
            </w:pPr>
          </w:p>
          <w:p w:rsidR="00A84D93" w:rsidRPr="00845744" w:rsidRDefault="00A84D93" w:rsidP="0054759D">
            <w:pPr>
              <w:autoSpaceDE w:val="0"/>
              <w:autoSpaceDN w:val="0"/>
              <w:adjustRightInd w:val="0"/>
            </w:pPr>
            <w:r w:rsidRPr="00845744">
              <w:t>!2% on all amounts above $6 million above the Maine Exemption.</w:t>
            </w:r>
          </w:p>
          <w:p w:rsidR="00A84D93" w:rsidRPr="00845744" w:rsidRDefault="00A84D93" w:rsidP="0054759D">
            <w:pPr>
              <w:autoSpaceDE w:val="0"/>
              <w:autoSpaceDN w:val="0"/>
              <w:adjustRightInd w:val="0"/>
            </w:pPr>
          </w:p>
          <w:p w:rsidR="00A84D93" w:rsidRPr="00845744" w:rsidRDefault="00A84D93" w:rsidP="0054759D">
            <w:pPr>
              <w:autoSpaceDE w:val="0"/>
              <w:autoSpaceDN w:val="0"/>
              <w:adjustRightInd w:val="0"/>
            </w:pPr>
            <w:r w:rsidRPr="00845744">
              <w:t>The new legislation did not include portability as part of the Maine Estate Tax.</w:t>
            </w:r>
          </w:p>
          <w:p w:rsidR="00F21374" w:rsidRPr="00845744" w:rsidRDefault="00F21374" w:rsidP="0054759D"/>
          <w:p w:rsidR="00F21374" w:rsidRPr="00845744" w:rsidRDefault="00F21374" w:rsidP="0054759D">
            <w:r w:rsidRPr="00845744">
              <w:t xml:space="preserve">For estates of decedents dying after </w:t>
            </w:r>
            <w:smartTag w:uri="urn:schemas-microsoft-com:office:smarttags" w:element="date">
              <w:smartTagPr>
                <w:attr w:name="Year" w:val="2002"/>
                <w:attr w:name="Day" w:val="31"/>
                <w:attr w:name="Month" w:val="12"/>
                <w:attr w:name="ls" w:val="trans"/>
              </w:smartTagPr>
              <w:r w:rsidRPr="00845744">
                <w:t>December 31, 2002</w:t>
              </w:r>
            </w:smartTag>
            <w:r w:rsidRPr="00845744">
              <w:t xml:space="preserve">, Sec. 2058 deduction is ignored in computing </w:t>
            </w:r>
            <w:smartTag w:uri="urn:schemas-microsoft-com:office:smarttags" w:element="State">
              <w:smartTag w:uri="urn:schemas-microsoft-com:office:smarttags" w:element="place">
                <w:r w:rsidRPr="00845744">
                  <w:t>Maine</w:t>
                </w:r>
              </w:smartTag>
            </w:smartTag>
            <w:r w:rsidRPr="00845744">
              <w:t xml:space="preserve"> tax and a separate state QTIP election is permitted.  M.R.S. Title 36, Sec. 4062. </w:t>
            </w:r>
          </w:p>
          <w:p w:rsidR="00F21374" w:rsidRPr="00845744" w:rsidRDefault="00F21374" w:rsidP="0054759D">
            <w:smartTag w:uri="urn:schemas-microsoft-com:office:smarttags" w:element="State">
              <w:smartTag w:uri="urn:schemas-microsoft-com:office:smarttags" w:element="place">
                <w:r w:rsidRPr="00845744">
                  <w:t>Maine</w:t>
                </w:r>
              </w:smartTag>
            </w:smartTag>
            <w:r w:rsidRPr="00845744">
              <w:t xml:space="preserve"> also subjects real or tangible property located in </w:t>
            </w:r>
            <w:smartTag w:uri="urn:schemas-microsoft-com:office:smarttags" w:element="State">
              <w:smartTag w:uri="urn:schemas-microsoft-com:office:smarttags" w:element="place">
                <w:r w:rsidRPr="00845744">
                  <w:t>Maine</w:t>
                </w:r>
              </w:smartTag>
            </w:smartTag>
            <w:r w:rsidRPr="00845744">
              <w:t xml:space="preserve"> that is transferred to a trust, limited liability company or other pass-through entity to tax in a non resident’s estate.  M.R.S. Title 36, Sec. 4064.</w:t>
            </w:r>
          </w:p>
        </w:tc>
        <w:tc>
          <w:tcPr>
            <w:tcW w:w="1739" w:type="dxa"/>
            <w:shd w:val="clear" w:color="auto" w:fill="auto"/>
          </w:tcPr>
          <w:p w:rsidR="00F21374" w:rsidRPr="00845744" w:rsidRDefault="00F21374" w:rsidP="0054759D">
            <w:pPr>
              <w:autoSpaceDE w:val="0"/>
              <w:autoSpaceDN w:val="0"/>
              <w:adjustRightInd w:val="0"/>
            </w:pPr>
          </w:p>
        </w:tc>
        <w:tc>
          <w:tcPr>
            <w:tcW w:w="1421" w:type="dxa"/>
            <w:shd w:val="clear" w:color="auto" w:fill="auto"/>
          </w:tcPr>
          <w:p w:rsidR="00F21374" w:rsidRPr="00845744" w:rsidRDefault="00F21374" w:rsidP="0054759D">
            <w:r w:rsidRPr="00845744">
              <w:t>$</w:t>
            </w:r>
            <w:r w:rsidR="00F64377" w:rsidRPr="00845744">
              <w:t>5,49</w:t>
            </w:r>
            <w:r w:rsidR="0054759D" w:rsidRPr="00845744">
              <w:t>0,000</w:t>
            </w:r>
          </w:p>
        </w:tc>
      </w:tr>
      <w:tr w:rsidR="00F21374" w:rsidRPr="00442330" w:rsidTr="0054759D">
        <w:tc>
          <w:tcPr>
            <w:tcW w:w="1606" w:type="dxa"/>
            <w:shd w:val="clear" w:color="auto" w:fill="auto"/>
          </w:tcPr>
          <w:p w:rsidR="00F21374" w:rsidRPr="00442330" w:rsidRDefault="00F21374" w:rsidP="0054759D">
            <w:r w:rsidRPr="00442330">
              <w:t>Maryland</w:t>
            </w:r>
          </w:p>
        </w:tc>
        <w:tc>
          <w:tcPr>
            <w:tcW w:w="1340" w:type="dxa"/>
            <w:shd w:val="clear" w:color="auto" w:fill="auto"/>
          </w:tcPr>
          <w:p w:rsidR="00F21374" w:rsidRPr="00442330" w:rsidRDefault="00F21374" w:rsidP="0054759D">
            <w:r w:rsidRPr="00442330">
              <w:t>Pick-up Tax</w:t>
            </w:r>
          </w:p>
          <w:p w:rsidR="00F21374" w:rsidRPr="00442330" w:rsidRDefault="00F21374" w:rsidP="0054759D">
            <w:r w:rsidRPr="00442330">
              <w:t xml:space="preserve"> Inheritance Tax</w:t>
            </w:r>
          </w:p>
          <w:p w:rsidR="00F21374" w:rsidRPr="00442330" w:rsidRDefault="00F21374" w:rsidP="0054759D"/>
        </w:tc>
        <w:tc>
          <w:tcPr>
            <w:tcW w:w="2750" w:type="dxa"/>
            <w:shd w:val="clear" w:color="auto" w:fill="auto"/>
          </w:tcPr>
          <w:p w:rsidR="00F21374" w:rsidRPr="00845744" w:rsidRDefault="00F21374" w:rsidP="0054759D"/>
          <w:p w:rsidR="00F21374" w:rsidRPr="00845744" w:rsidRDefault="00F21374" w:rsidP="0054759D">
            <w:r w:rsidRPr="00845744">
              <w:t>On May 15, 2014, Governor O’Malley signed HB 739 which repealed and reenacted MD TAX GENERAL §§ 7-305, 7-309(a), and 7-309(b) to do the following:</w:t>
            </w:r>
          </w:p>
          <w:p w:rsidR="00F21374" w:rsidRPr="00845744" w:rsidRDefault="00F21374" w:rsidP="0054759D"/>
          <w:p w:rsidR="00F21374" w:rsidRPr="00845744" w:rsidRDefault="00F21374" w:rsidP="00F21374">
            <w:pPr>
              <w:numPr>
                <w:ilvl w:val="0"/>
                <w:numId w:val="25"/>
              </w:numPr>
            </w:pPr>
            <w:r w:rsidRPr="00845744">
              <w:t>Increases the threshold for the Maryland estate tax to $1.5 million in 2015, $2 million in 2016, $3 million in 2017, and $4 million in 2018.  For 2019 and beyond, the Maryland threshold will equal the federal applicable exclusion amount.</w:t>
            </w:r>
          </w:p>
          <w:p w:rsidR="00F21374" w:rsidRPr="00845744" w:rsidRDefault="00F21374" w:rsidP="0054759D">
            <w:pPr>
              <w:ind w:left="720"/>
            </w:pPr>
          </w:p>
          <w:p w:rsidR="00F21374" w:rsidRPr="00845744" w:rsidRDefault="00F21374" w:rsidP="00F21374">
            <w:pPr>
              <w:numPr>
                <w:ilvl w:val="0"/>
                <w:numId w:val="25"/>
              </w:numPr>
              <w:spacing w:after="240"/>
            </w:pPr>
            <w:r w:rsidRPr="00845744">
              <w:t xml:space="preserve">Continues to limit the amount of the federal credit used to calculate the Maryland estate tax to 16% of the amount by which the decedent’s taxable estate exceeds the Maryland threshold unless the Section 2011 federal state death tax credit is then in effect.  </w:t>
            </w:r>
          </w:p>
          <w:p w:rsidR="00F21374" w:rsidRPr="00845744" w:rsidRDefault="00F21374" w:rsidP="00F21374">
            <w:pPr>
              <w:numPr>
                <w:ilvl w:val="0"/>
                <w:numId w:val="25"/>
              </w:numPr>
            </w:pPr>
            <w:r w:rsidRPr="00845744">
              <w:t>Continues to ignore the federal deduction for state death taxes under Sec. 2058 in computing Maryland estate tax, thus eliminating a circular computation.</w:t>
            </w:r>
          </w:p>
          <w:p w:rsidR="00F21374" w:rsidRPr="00845744" w:rsidRDefault="00F21374" w:rsidP="0054759D"/>
          <w:p w:rsidR="00F21374" w:rsidRPr="00845744" w:rsidRDefault="00F21374" w:rsidP="00F21374">
            <w:pPr>
              <w:numPr>
                <w:ilvl w:val="0"/>
                <w:numId w:val="25"/>
              </w:numPr>
            </w:pPr>
            <w:r w:rsidRPr="00845744">
              <w:t>Permits a state QTIP election.</w:t>
            </w:r>
          </w:p>
          <w:p w:rsidR="00F21374" w:rsidRPr="00845744" w:rsidRDefault="00F21374" w:rsidP="0054759D"/>
          <w:p w:rsidR="00F21374" w:rsidRPr="00845744" w:rsidRDefault="00F21374" w:rsidP="0054759D"/>
        </w:tc>
        <w:tc>
          <w:tcPr>
            <w:tcW w:w="1739" w:type="dxa"/>
            <w:shd w:val="clear" w:color="auto" w:fill="auto"/>
          </w:tcPr>
          <w:p w:rsidR="00F21374" w:rsidRPr="00845744" w:rsidRDefault="00F21374" w:rsidP="0054759D"/>
        </w:tc>
        <w:tc>
          <w:tcPr>
            <w:tcW w:w="1421" w:type="dxa"/>
            <w:shd w:val="clear" w:color="auto" w:fill="auto"/>
          </w:tcPr>
          <w:p w:rsidR="00F21374" w:rsidRPr="00845744" w:rsidRDefault="00F64377" w:rsidP="0054759D">
            <w:r w:rsidRPr="00845744">
              <w:t>$3</w:t>
            </w:r>
            <w:r w:rsidR="0054759D" w:rsidRPr="00845744">
              <w:t>,000,000</w:t>
            </w:r>
          </w:p>
        </w:tc>
      </w:tr>
      <w:tr w:rsidR="00F21374" w:rsidRPr="00442330" w:rsidTr="0054759D">
        <w:tc>
          <w:tcPr>
            <w:tcW w:w="1606" w:type="dxa"/>
            <w:shd w:val="clear" w:color="auto" w:fill="auto"/>
          </w:tcPr>
          <w:p w:rsidR="00F21374" w:rsidRPr="00442330" w:rsidRDefault="00F21374" w:rsidP="0054759D">
            <w:r w:rsidRPr="00442330">
              <w:t>Massachusetts</w:t>
            </w:r>
          </w:p>
        </w:tc>
        <w:tc>
          <w:tcPr>
            <w:tcW w:w="1340" w:type="dxa"/>
            <w:shd w:val="clear" w:color="auto" w:fill="auto"/>
          </w:tcPr>
          <w:p w:rsidR="00F21374" w:rsidRPr="00442330" w:rsidRDefault="00F21374" w:rsidP="0054759D">
            <w:r w:rsidRPr="00442330">
              <w:t>Pick-up Only</w:t>
            </w:r>
          </w:p>
        </w:tc>
        <w:tc>
          <w:tcPr>
            <w:tcW w:w="2750" w:type="dxa"/>
            <w:shd w:val="clear" w:color="auto" w:fill="auto"/>
          </w:tcPr>
          <w:p w:rsidR="00F21374" w:rsidRPr="00442330" w:rsidRDefault="00F21374" w:rsidP="0054759D">
            <w:r w:rsidRPr="00442330">
              <w:t>For decedents dying in 2002, pick-up tax is tied to federal state death tax credit.  MA ST 65C §§ 2A.</w:t>
            </w:r>
            <w:r w:rsidRPr="00442330">
              <w:br/>
            </w:r>
          </w:p>
          <w:p w:rsidR="00F21374" w:rsidRPr="00442330" w:rsidRDefault="00F21374" w:rsidP="0054759D">
            <w:r w:rsidRPr="00442330">
              <w:t xml:space="preserve">For decedents dying on or after </w:t>
            </w:r>
            <w:smartTag w:uri="urn:schemas-microsoft-com:office:smarttags" w:element="date">
              <w:smartTagPr>
                <w:attr w:name="ls" w:val="trans"/>
                <w:attr w:name="Month" w:val="1"/>
                <w:attr w:name="Day" w:val="1"/>
                <w:attr w:name="Year" w:val="2003"/>
              </w:smartTagPr>
              <w:r w:rsidRPr="00442330">
                <w:t>January 1, 2003</w:t>
              </w:r>
            </w:smartTag>
            <w:r w:rsidRPr="00442330">
              <w:t xml:space="preserve">, pick-up tax is frozen at federal state death tax credit in effect on </w:t>
            </w:r>
            <w:smartTag w:uri="urn:schemas-microsoft-com:office:smarttags" w:element="date">
              <w:smartTagPr>
                <w:attr w:name="ls" w:val="trans"/>
                <w:attr w:name="Month" w:val="12"/>
                <w:attr w:name="Day" w:val="31"/>
                <w:attr w:name="Year" w:val="2000"/>
              </w:smartTagPr>
              <w:r w:rsidRPr="00442330">
                <w:t>December 31, 2000</w:t>
              </w:r>
            </w:smartTag>
            <w:r w:rsidRPr="00442330">
              <w:t xml:space="preserve">. </w:t>
            </w:r>
            <w:smartTag w:uri="urn:schemas-microsoft-com:office:smarttags" w:element="Street">
              <w:smartTag w:uri="urn:schemas-microsoft-com:office:smarttags" w:element="address">
                <w:r w:rsidRPr="00442330">
                  <w:t>MA ST</w:t>
                </w:r>
              </w:smartTag>
            </w:smartTag>
            <w:r w:rsidRPr="00442330">
              <w:t xml:space="preserve"> 65C §§ 2A(a), as amended July 2002. </w:t>
            </w:r>
          </w:p>
          <w:p w:rsidR="00F21374" w:rsidRPr="00442330" w:rsidRDefault="00F21374" w:rsidP="0054759D"/>
          <w:p w:rsidR="00F21374" w:rsidRPr="00442330" w:rsidRDefault="00F21374" w:rsidP="0054759D">
            <w:r w:rsidRPr="00442330">
              <w:t xml:space="preserve">Tax imposed on estates exceeding applicable exclusion amount in effect on </w:t>
            </w:r>
            <w:smartTag w:uri="urn:schemas-microsoft-com:office:smarttags" w:element="date">
              <w:smartTagPr>
                <w:attr w:name="ls" w:val="trans"/>
                <w:attr w:name="Month" w:val="12"/>
                <w:attr w:name="Day" w:val="31"/>
                <w:attr w:name="Year" w:val="2000"/>
              </w:smartTagPr>
              <w:r w:rsidRPr="00442330">
                <w:t>December 31, 2000</w:t>
              </w:r>
            </w:smartTag>
            <w:r w:rsidRPr="00442330">
              <w:t xml:space="preserve"> (including scheduled increases under pre-EGTRRA law), even if that amount is below EGTRRA applicable exclusion amount.</w:t>
            </w:r>
          </w:p>
          <w:p w:rsidR="00F21374" w:rsidRPr="00442330" w:rsidRDefault="00F21374" w:rsidP="0054759D">
            <w:r w:rsidRPr="00442330">
              <w:t xml:space="preserve">See, Taxpayer Advisory Bulletin (Dec. 2002), </w:t>
            </w:r>
            <w:smartTag w:uri="urn:schemas-microsoft-com:office:smarttags" w:element="stockticker">
              <w:r w:rsidRPr="00442330">
                <w:t>DOR</w:t>
              </w:r>
            </w:smartTag>
            <w:r w:rsidRPr="00442330">
              <w:t xml:space="preserve"> Directive 03-02, Mass. Guide to Estate Taxes (2003) and TIR 02-18 published by Mass. Dept. of Rev. </w:t>
            </w:r>
          </w:p>
          <w:p w:rsidR="00F21374" w:rsidRPr="00442330" w:rsidRDefault="00F21374" w:rsidP="0054759D"/>
          <w:p w:rsidR="00F21374" w:rsidRPr="00442330" w:rsidRDefault="00F21374" w:rsidP="0054759D">
            <w:r w:rsidRPr="00442330">
              <w:t>Massachusetts Department of Revenue has issued directive, pursuant to which separate Massachusetts QTIP election can be made when applying state’s new estate tax based upon pre-EGTRRA federal state death tax credit.</w:t>
            </w:r>
          </w:p>
        </w:tc>
        <w:tc>
          <w:tcPr>
            <w:tcW w:w="1739" w:type="dxa"/>
            <w:shd w:val="clear" w:color="auto" w:fill="auto"/>
          </w:tcPr>
          <w:p w:rsidR="00F21374" w:rsidRPr="00442330" w:rsidRDefault="00F21374" w:rsidP="0054759D"/>
          <w:p w:rsidR="00F21374" w:rsidRPr="00442330" w:rsidRDefault="00F21374" w:rsidP="0054759D"/>
        </w:tc>
        <w:tc>
          <w:tcPr>
            <w:tcW w:w="1421" w:type="dxa"/>
            <w:shd w:val="clear" w:color="auto" w:fill="auto"/>
          </w:tcPr>
          <w:p w:rsidR="00F21374" w:rsidRPr="00442330" w:rsidRDefault="00F21374" w:rsidP="0054759D">
            <w:r w:rsidRPr="00442330">
              <w:t>$1,000,000</w:t>
            </w:r>
          </w:p>
        </w:tc>
      </w:tr>
      <w:tr w:rsidR="00F21374" w:rsidRPr="00442330" w:rsidTr="0054759D">
        <w:tc>
          <w:tcPr>
            <w:tcW w:w="1606" w:type="dxa"/>
            <w:shd w:val="clear" w:color="auto" w:fill="auto"/>
          </w:tcPr>
          <w:p w:rsidR="00F21374" w:rsidRPr="00442330" w:rsidRDefault="00F21374" w:rsidP="0054759D">
            <w:r w:rsidRPr="00442330">
              <w:t>Michigan</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MI ST §§ 205.232; 205.256</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Minnesota</w:t>
            </w:r>
          </w:p>
        </w:tc>
        <w:tc>
          <w:tcPr>
            <w:tcW w:w="1340" w:type="dxa"/>
            <w:shd w:val="clear" w:color="auto" w:fill="auto"/>
          </w:tcPr>
          <w:p w:rsidR="00F21374" w:rsidRPr="00442330" w:rsidRDefault="00F21374" w:rsidP="0054759D">
            <w:r w:rsidRPr="00442330">
              <w:t>Pick-up Only</w:t>
            </w:r>
          </w:p>
        </w:tc>
        <w:tc>
          <w:tcPr>
            <w:tcW w:w="2750" w:type="dxa"/>
            <w:shd w:val="clear" w:color="auto" w:fill="auto"/>
          </w:tcPr>
          <w:p w:rsidR="00F21374" w:rsidRPr="00442330" w:rsidRDefault="00F21374" w:rsidP="0054759D">
            <w:r w:rsidRPr="00442330">
              <w:t xml:space="preserve">Tax frozen at federal state death tax credit in effect on </w:t>
            </w:r>
            <w:smartTag w:uri="urn:schemas-microsoft-com:office:smarttags" w:element="date">
              <w:smartTagPr>
                <w:attr w:name="ls" w:val="trans"/>
                <w:attr w:name="Month" w:val="12"/>
                <w:attr w:name="Day" w:val="31"/>
                <w:attr w:name="Year" w:val="2000"/>
              </w:smartTagPr>
              <w:r w:rsidRPr="00442330">
                <w:t>December 31, 2000</w:t>
              </w:r>
            </w:smartTag>
            <w:r w:rsidRPr="00442330">
              <w:t>, clarifying statute passed May 2002.</w:t>
            </w:r>
          </w:p>
          <w:p w:rsidR="00F21374" w:rsidRPr="00442330" w:rsidRDefault="00F21374" w:rsidP="0054759D"/>
          <w:p w:rsidR="00F21374" w:rsidRPr="00442330" w:rsidRDefault="00F21374" w:rsidP="0054759D">
            <w:r w:rsidRPr="00442330">
              <w:t xml:space="preserve">Tax imposed on estates exceeding federal applicable exclusion amount in effect on </w:t>
            </w:r>
            <w:smartTag w:uri="urn:schemas-microsoft-com:office:smarttags" w:element="date">
              <w:smartTagPr>
                <w:attr w:name="ls" w:val="trans"/>
                <w:attr w:name="Month" w:val="12"/>
                <w:attr w:name="Day" w:val="31"/>
                <w:attr w:name="Year" w:val="2000"/>
              </w:smartTagPr>
              <w:r w:rsidRPr="00442330">
                <w:t>December 31, 2000</w:t>
              </w:r>
            </w:smartTag>
            <w:r w:rsidRPr="00442330">
              <w:t xml:space="preserve"> (including scheduled increases under pre-EGTRRA law), even if that amount is below EGTRRA applicable exclusion amount.</w:t>
            </w:r>
          </w:p>
          <w:p w:rsidR="00F21374" w:rsidRPr="00442330" w:rsidRDefault="00F21374" w:rsidP="0054759D">
            <w:smartTag w:uri="urn:schemas-microsoft-com:office:smarttags" w:element="Street">
              <w:smartTag w:uri="urn:schemas-microsoft-com:office:smarttags" w:element="address">
                <w:r w:rsidRPr="00442330">
                  <w:t>MN ST</w:t>
                </w:r>
              </w:smartTag>
            </w:smartTag>
            <w:r w:rsidRPr="00442330">
              <w:t xml:space="preserve"> §§ 291.005; 291.03; instructions for MS Estate Tax Return; MN Revenue Notice 02-16.</w:t>
            </w:r>
          </w:p>
          <w:p w:rsidR="00F21374" w:rsidRPr="00442330" w:rsidRDefault="00F21374" w:rsidP="0054759D"/>
          <w:p w:rsidR="00F21374" w:rsidRPr="00442330" w:rsidRDefault="00F21374" w:rsidP="0054759D">
            <w:r w:rsidRPr="00442330">
              <w:t>Separate state QTIP election permitted.</w:t>
            </w:r>
          </w:p>
        </w:tc>
        <w:tc>
          <w:tcPr>
            <w:tcW w:w="1739" w:type="dxa"/>
            <w:shd w:val="clear" w:color="auto" w:fill="auto"/>
          </w:tcPr>
          <w:p w:rsidR="00F21374" w:rsidRPr="00442330" w:rsidRDefault="00F21374" w:rsidP="0054759D">
            <w:r w:rsidRPr="00442330">
              <w:t xml:space="preserve">On March 21, 2014, the Minnesota Governor signed HF 1777 which retroactively repealed Minnesota’s gift tax (which was enacted in 2013). </w:t>
            </w:r>
          </w:p>
          <w:p w:rsidR="00F21374" w:rsidRPr="00442330" w:rsidRDefault="00F21374" w:rsidP="0054759D"/>
          <w:p w:rsidR="00F21374" w:rsidRPr="00442330" w:rsidRDefault="00F21374" w:rsidP="0054759D">
            <w:r w:rsidRPr="00442330">
              <w:t>With respect to the estate tax, the new law increases the exemption to $1,200,000 for 2014 and thereafter in annual $200,000 increments until it reaches $2,000,000 in 2018.  It also modifies the computation of the estate tax so that the first dollars are taxed at a 9% rate which increases to 16%.</w:t>
            </w:r>
          </w:p>
          <w:p w:rsidR="00F21374" w:rsidRPr="00442330" w:rsidRDefault="00F21374" w:rsidP="0054759D"/>
          <w:p w:rsidR="00F21374" w:rsidRPr="00442330" w:rsidRDefault="00F21374" w:rsidP="0054759D">
            <w:r w:rsidRPr="00442330">
              <w:t>The new law permits a separate state QTIP election.</w:t>
            </w:r>
          </w:p>
          <w:p w:rsidR="00F21374" w:rsidRPr="00442330" w:rsidRDefault="00F21374" w:rsidP="0054759D"/>
          <w:p w:rsidR="00F21374" w:rsidRPr="00442330" w:rsidRDefault="00F21374" w:rsidP="0054759D">
            <w:r w:rsidRPr="00442330">
              <w:t>The provision enacted in 2013 to impose an estate tax on non-residents who own an interest in a pass-through entity which in turn owned real or personal property in Minnesota has been amended to exclude certain publicly traded entities.  It still applies to entities taxed as partnerships or S Corporations that own closely held businesses, farms, and cabins.</w:t>
            </w:r>
          </w:p>
          <w:p w:rsidR="00F21374" w:rsidRPr="00442330" w:rsidRDefault="00F21374" w:rsidP="0054759D"/>
          <w:p w:rsidR="00F21374" w:rsidRPr="00442330" w:rsidRDefault="00F21374" w:rsidP="0054759D"/>
        </w:tc>
        <w:tc>
          <w:tcPr>
            <w:tcW w:w="1421" w:type="dxa"/>
            <w:shd w:val="clear" w:color="auto" w:fill="auto"/>
          </w:tcPr>
          <w:p w:rsidR="00F21374" w:rsidRPr="00442330" w:rsidRDefault="00F64377" w:rsidP="0054759D">
            <w:r w:rsidRPr="00845744">
              <w:t>$1,8</w:t>
            </w:r>
            <w:r w:rsidR="00F21374" w:rsidRPr="00845744">
              <w:t>00,000</w:t>
            </w:r>
          </w:p>
        </w:tc>
      </w:tr>
      <w:tr w:rsidR="00F21374" w:rsidRPr="00442330" w:rsidTr="0054759D">
        <w:tc>
          <w:tcPr>
            <w:tcW w:w="1606" w:type="dxa"/>
            <w:shd w:val="clear" w:color="auto" w:fill="auto"/>
          </w:tcPr>
          <w:p w:rsidR="00F21374" w:rsidRPr="00442330" w:rsidRDefault="00F21374" w:rsidP="0054759D">
            <w:r w:rsidRPr="00442330">
              <w:t>Mississippi</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 xml:space="preserve">MS ST § 27-9-5.  </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Missouri</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MO ST §§ 145.011; 145.091.</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Montana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MT ST § 72-16-904; 72-16-905.</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smartTag w:uri="urn:schemas-microsoft-com:office:smarttags" w:element="State">
              <w:smartTag w:uri="urn:schemas-microsoft-com:office:smarttags" w:element="place">
                <w:r w:rsidRPr="00442330">
                  <w:t>Nebraska</w:t>
                </w:r>
              </w:smartTag>
            </w:smartTag>
          </w:p>
        </w:tc>
        <w:tc>
          <w:tcPr>
            <w:tcW w:w="1340" w:type="dxa"/>
            <w:shd w:val="clear" w:color="auto" w:fill="auto"/>
          </w:tcPr>
          <w:p w:rsidR="00F21374" w:rsidRPr="00442330" w:rsidRDefault="00F21374" w:rsidP="0054759D">
            <w:smartTag w:uri="urn:schemas-microsoft-com:office:smarttags" w:element="place">
              <w:smartTag w:uri="urn:schemas-microsoft-com:office:smarttags" w:element="PlaceType">
                <w:r w:rsidRPr="00442330">
                  <w:t>County</w:t>
                </w:r>
              </w:smartTag>
              <w:r w:rsidRPr="00442330">
                <w:t xml:space="preserve"> </w:t>
              </w:r>
              <w:smartTag w:uri="urn:schemas-microsoft-com:office:smarttags" w:element="PlaceName">
                <w:r w:rsidRPr="00442330">
                  <w:t>Inheritance Tax</w:t>
                </w:r>
              </w:smartTag>
            </w:smartTag>
          </w:p>
          <w:p w:rsidR="00F21374" w:rsidRPr="00442330" w:rsidRDefault="00F21374" w:rsidP="0054759D"/>
          <w:p w:rsidR="00F21374" w:rsidRPr="00442330" w:rsidRDefault="00F21374" w:rsidP="0054759D"/>
        </w:tc>
        <w:tc>
          <w:tcPr>
            <w:tcW w:w="2750" w:type="dxa"/>
            <w:shd w:val="clear" w:color="auto" w:fill="auto"/>
          </w:tcPr>
          <w:p w:rsidR="00F21374" w:rsidRPr="00442330" w:rsidRDefault="00F21374" w:rsidP="0054759D">
            <w:smartTag w:uri="urn:schemas-microsoft-com:office:smarttags" w:element="State">
              <w:smartTag w:uri="urn:schemas-microsoft-com:office:smarttags" w:element="place">
                <w:r w:rsidRPr="00442330">
                  <w:t>Nebraska</w:t>
                </w:r>
              </w:smartTag>
            </w:smartTag>
            <w:r w:rsidRPr="00442330">
              <w:t xml:space="preserve"> through 2006 imposed a pick-up tax at the state level. Counties impose and collect a separate inheritance tax.</w:t>
            </w:r>
          </w:p>
          <w:p w:rsidR="00F21374" w:rsidRPr="00442330" w:rsidRDefault="00F21374" w:rsidP="0054759D"/>
          <w:p w:rsidR="00F21374" w:rsidRPr="00442330" w:rsidRDefault="00F21374" w:rsidP="0054759D">
            <w:smartTag w:uri="urn:schemas-microsoft-com:office:smarttags" w:element="stockticker">
              <w:r w:rsidRPr="00442330">
                <w:t>NEB</w:t>
              </w:r>
            </w:smartTag>
            <w:r w:rsidRPr="00442330">
              <w:t xml:space="preserve"> </w:t>
            </w:r>
            <w:smartTag w:uri="urn:schemas-microsoft-com:office:smarttags" w:element="stockticker">
              <w:r w:rsidRPr="00442330">
                <w:t>REV</w:t>
              </w:r>
            </w:smartTag>
            <w:r w:rsidRPr="00442330">
              <w:t xml:space="preserve"> ST § 77-2101.01(1).</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Nevada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NV ST Title 32 §§ 375A.025; 375A.100.</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New Hampshire</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NH ST §§ 87:1; 87:7.</w:t>
            </w:r>
          </w:p>
        </w:tc>
        <w:tc>
          <w:tcPr>
            <w:tcW w:w="1739" w:type="dxa"/>
            <w:shd w:val="clear" w:color="auto" w:fill="auto"/>
          </w:tcPr>
          <w:p w:rsidR="00F21374" w:rsidRPr="00442330" w:rsidRDefault="00F21374" w:rsidP="0054759D">
            <w:pPr>
              <w:rPr>
                <w:highlight w:val="yellow"/>
              </w:rPr>
            </w:pPr>
          </w:p>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New Jersey</w:t>
            </w:r>
          </w:p>
        </w:tc>
        <w:tc>
          <w:tcPr>
            <w:tcW w:w="1340" w:type="dxa"/>
            <w:shd w:val="clear" w:color="auto" w:fill="auto"/>
          </w:tcPr>
          <w:p w:rsidR="00F21374" w:rsidRPr="00442330" w:rsidRDefault="00F21374" w:rsidP="0054759D">
            <w:r w:rsidRPr="00442330">
              <w:t>Pick-up Tax</w:t>
            </w:r>
          </w:p>
          <w:p w:rsidR="00F21374" w:rsidRPr="00442330" w:rsidRDefault="00F21374" w:rsidP="0054759D">
            <w:r w:rsidRPr="00442330">
              <w:t xml:space="preserve"> </w:t>
            </w:r>
          </w:p>
          <w:p w:rsidR="00F21374" w:rsidRPr="00442330" w:rsidRDefault="00F21374" w:rsidP="0054759D">
            <w:r w:rsidRPr="00442330">
              <w:t>Inheritance</w:t>
            </w:r>
          </w:p>
          <w:p w:rsidR="00F21374" w:rsidRPr="00442330" w:rsidRDefault="00F21374" w:rsidP="0054759D">
            <w:r w:rsidRPr="00442330">
              <w:t>Tax</w:t>
            </w:r>
          </w:p>
        </w:tc>
        <w:tc>
          <w:tcPr>
            <w:tcW w:w="2750" w:type="dxa"/>
            <w:shd w:val="clear" w:color="auto" w:fill="auto"/>
          </w:tcPr>
          <w:p w:rsidR="00F21374" w:rsidRPr="00442330" w:rsidRDefault="00F21374" w:rsidP="0054759D">
            <w:r w:rsidRPr="00442330">
              <w:t xml:space="preserve">For decedents dying after </w:t>
            </w:r>
            <w:smartTag w:uri="urn:schemas-microsoft-com:office:smarttags" w:element="date">
              <w:smartTagPr>
                <w:attr w:name="ls" w:val="trans"/>
                <w:attr w:name="Month" w:val="12"/>
                <w:attr w:name="Day" w:val="31"/>
                <w:attr w:name="Year" w:val="2002"/>
              </w:smartTagPr>
              <w:r w:rsidRPr="00442330">
                <w:t>December 31, 2002</w:t>
              </w:r>
            </w:smartTag>
            <w:r w:rsidRPr="00442330">
              <w:t xml:space="preserve">, pick-up tax frozen at federal state death tax credit in effect on </w:t>
            </w:r>
            <w:smartTag w:uri="urn:schemas-microsoft-com:office:smarttags" w:element="date">
              <w:smartTagPr>
                <w:attr w:name="ls" w:val="trans"/>
                <w:attr w:name="Month" w:val="12"/>
                <w:attr w:name="Day" w:val="31"/>
                <w:attr w:name="Year" w:val="2001"/>
              </w:smartTagPr>
              <w:r w:rsidRPr="00442330">
                <w:t>December 31, 2001</w:t>
              </w:r>
            </w:smartTag>
            <w:r w:rsidRPr="00442330">
              <w:t>.  NJ ST § 54:38-1</w:t>
            </w:r>
          </w:p>
          <w:p w:rsidR="00F21374" w:rsidRPr="00442330" w:rsidRDefault="00F21374" w:rsidP="0054759D"/>
          <w:p w:rsidR="00F21374" w:rsidRDefault="00F21374" w:rsidP="0054759D">
            <w:r w:rsidRPr="00442330">
              <w:t xml:space="preserve">Pick-up tax imposed on estates exceeding federal applicable exclusion amount in effect </w:t>
            </w:r>
            <w:smartTag w:uri="urn:schemas-microsoft-com:office:smarttags" w:element="date">
              <w:smartTagPr>
                <w:attr w:name="ls" w:val="trans"/>
                <w:attr w:name="Month" w:val="12"/>
                <w:attr w:name="Day" w:val="31"/>
                <w:attr w:name="Year" w:val="2001"/>
              </w:smartTagPr>
              <w:r w:rsidRPr="00442330">
                <w:t>December 31, 2001</w:t>
              </w:r>
            </w:smartTag>
            <w:r w:rsidRPr="00442330">
              <w:t xml:space="preserve"> ($675,000), not including scheduled increases under pre-EGTRRA law, even though that amount is below the lowest EGTRRA applicable exclusion amount. </w:t>
            </w:r>
          </w:p>
          <w:p w:rsidR="00BC15A5" w:rsidRDefault="00BC15A5" w:rsidP="0054759D"/>
          <w:p w:rsidR="00BC15A5" w:rsidRPr="00442330" w:rsidRDefault="00BC15A5" w:rsidP="0054759D">
            <w:r w:rsidRPr="00F64377">
              <w:t>The exemption will be increased to $2 million in 2017 and the pick-up tax, but the inheritance tax, will be eliminated as of January 1, 2018.</w:t>
            </w:r>
          </w:p>
          <w:p w:rsidR="00F21374" w:rsidRPr="00442330" w:rsidRDefault="00F21374" w:rsidP="0054759D"/>
          <w:p w:rsidR="00F21374" w:rsidRPr="00442330" w:rsidRDefault="00F21374" w:rsidP="0054759D">
            <w:r w:rsidRPr="00442330">
              <w:t xml:space="preserve">The executor has the option of paying the above pick-up tax or a similar tax prescribed by the NJ Dir. Of Div. of Taxn. NJ ST § 54:38-1; approved on </w:t>
            </w:r>
            <w:smartTag w:uri="urn:schemas-microsoft-com:office:smarttags" w:element="date">
              <w:smartTagPr>
                <w:attr w:name="ls" w:val="trans"/>
                <w:attr w:name="Month" w:val="7"/>
                <w:attr w:name="Day" w:val="1"/>
                <w:attr w:name="Year" w:val="2002"/>
              </w:smartTagPr>
              <w:r w:rsidRPr="00442330">
                <w:t>July 1, 2002</w:t>
              </w:r>
            </w:smartTag>
            <w:r w:rsidRPr="00442330">
              <w:t>.</w:t>
            </w:r>
          </w:p>
          <w:p w:rsidR="00F21374" w:rsidRPr="00442330" w:rsidRDefault="00F21374" w:rsidP="0054759D"/>
          <w:p w:rsidR="00F21374" w:rsidRPr="00442330" w:rsidRDefault="00F21374" w:rsidP="0054759D">
            <w:pPr>
              <w:autoSpaceDE w:val="0"/>
              <w:autoSpaceDN w:val="0"/>
              <w:adjustRightInd w:val="0"/>
            </w:pPr>
            <w:r w:rsidRPr="00442330">
              <w:t xml:space="preserve">In </w:t>
            </w:r>
            <w:r w:rsidRPr="00442330">
              <w:rPr>
                <w:u w:val="single"/>
              </w:rPr>
              <w:t>Oberhand v. Director, Div. of Tax</w:t>
            </w:r>
            <w:r w:rsidRPr="00442330">
              <w:t>, 193 N.J. 558 (2008), the retroactive application of New Jersey's decoupled estate tax to the estate of a decedent dying prior to the enactment of the tax was declared "manifestly unjust", where the will included marital formula provisions.</w:t>
            </w:r>
          </w:p>
          <w:p w:rsidR="00F21374" w:rsidRPr="00442330" w:rsidRDefault="00F21374" w:rsidP="0054759D">
            <w:pPr>
              <w:autoSpaceDE w:val="0"/>
              <w:autoSpaceDN w:val="0"/>
              <w:adjustRightInd w:val="0"/>
            </w:pPr>
          </w:p>
          <w:p w:rsidR="00F21374" w:rsidRPr="00442330" w:rsidRDefault="00F21374" w:rsidP="0054759D">
            <w:r w:rsidRPr="00442330">
              <w:t xml:space="preserve">In </w:t>
            </w:r>
            <w:r w:rsidRPr="00442330">
              <w:rPr>
                <w:u w:val="single"/>
              </w:rPr>
              <w:t>Estate of Stevenson v. Director</w:t>
            </w:r>
            <w:r w:rsidRPr="00442330">
              <w:t xml:space="preserve">, 008300-07 (N.J.Tax </w:t>
            </w:r>
            <w:smartTag w:uri="urn:schemas-microsoft-com:office:smarttags" w:element="date">
              <w:smartTagPr>
                <w:attr w:name="ls" w:val="trans"/>
                <w:attr w:name="Month" w:val="2"/>
                <w:attr w:name="Day" w:val="19"/>
                <w:attr w:name="Year" w:val="2008"/>
              </w:smartTagPr>
              <w:r w:rsidRPr="00442330">
                <w:t>2-19-2008</w:t>
              </w:r>
            </w:smartTag>
            <w:r w:rsidRPr="00442330">
              <w:t>) the NJ Tax Court held that in calculating the New Jersey estate tax where a marital disposition was burdened with estate tax, creating an interrelated computation, the marital deduction must be reduced not only by the actual NJ estate tax, but also by the hypothetical federal estate tax that would have been payable if the decedent had died in 2001.</w:t>
            </w:r>
          </w:p>
          <w:p w:rsidR="00F21374" w:rsidRPr="00442330" w:rsidRDefault="00F21374" w:rsidP="0054759D"/>
          <w:p w:rsidR="00F21374" w:rsidRPr="00442330" w:rsidRDefault="00F21374" w:rsidP="0054759D">
            <w:smartTag w:uri="urn:schemas-microsoft-com:office:smarttags" w:element="State">
              <w:smartTag w:uri="urn:schemas-microsoft-com:office:smarttags" w:element="place">
                <w:r w:rsidRPr="00442330">
                  <w:t>New Jersey</w:t>
                </w:r>
              </w:smartTag>
            </w:smartTag>
            <w:r w:rsidRPr="00442330">
              <w:t xml:space="preserve"> allows a separate state QTIP election when a federal estate tax return is not filed and is not required to be filed.</w:t>
            </w:r>
          </w:p>
          <w:p w:rsidR="00F21374" w:rsidRPr="00442330" w:rsidRDefault="00F21374" w:rsidP="0054759D">
            <w:pPr>
              <w:rPr>
                <w:highlight w:val="yellow"/>
              </w:rPr>
            </w:pPr>
          </w:p>
          <w:p w:rsidR="00F21374" w:rsidRPr="00442330" w:rsidRDefault="00F21374" w:rsidP="0054759D">
            <w:r w:rsidRPr="00442330">
              <w:t>The New Jersey Administrative Code also requires that if the federal and state QTIP election is made, they must be consistent. NJAC 18:26-3A.8(d)</w:t>
            </w:r>
          </w:p>
          <w:p w:rsidR="00F21374" w:rsidRPr="00442330" w:rsidRDefault="00F21374" w:rsidP="0054759D"/>
        </w:tc>
        <w:tc>
          <w:tcPr>
            <w:tcW w:w="1739" w:type="dxa"/>
            <w:shd w:val="clear" w:color="auto" w:fill="auto"/>
          </w:tcPr>
          <w:p w:rsidR="00BC15A5" w:rsidRDefault="00BC15A5" w:rsidP="0054759D">
            <w:pPr>
              <w:rPr>
                <w:color w:val="000000" w:themeColor="text1"/>
                <w:highlight w:val="yellow"/>
              </w:rPr>
            </w:pPr>
            <w:r w:rsidRPr="00F64377">
              <w:rPr>
                <w:color w:val="000000" w:themeColor="text1"/>
              </w:rPr>
              <w:t>On October 14, Governor Christie signed Assembly Bill A-12 which was the tax bill accompanying the Assembly Bill A-10 which revised the funding for the state’s Transportation Fund.  Under this new law, the Pick-Up Tax will have a $2 million exemption in 2017 and will be eliminated as of January 1, 2018.  The new law also eliminates the tax on New Jersey real and tangible property of a non-resident decedent.</w:t>
            </w:r>
          </w:p>
          <w:p w:rsidR="00BC15A5" w:rsidRDefault="00BC15A5" w:rsidP="0054759D">
            <w:pPr>
              <w:rPr>
                <w:color w:val="000000" w:themeColor="text1"/>
                <w:highlight w:val="yellow"/>
              </w:rPr>
            </w:pPr>
          </w:p>
          <w:p w:rsidR="00BC15A5" w:rsidRPr="00BC15A5" w:rsidRDefault="00BC15A5" w:rsidP="0054759D">
            <w:pPr>
              <w:rPr>
                <w:color w:val="000000" w:themeColor="text1"/>
                <w:highlight w:val="yellow"/>
              </w:rPr>
            </w:pPr>
            <w:r w:rsidRPr="00F64377">
              <w:rPr>
                <w:color w:val="000000" w:themeColor="text1"/>
              </w:rPr>
              <w:t>The repeal of the pick-up tax does not apply to the separate New Jersey inheritance tax.</w:t>
            </w:r>
          </w:p>
        </w:tc>
        <w:tc>
          <w:tcPr>
            <w:tcW w:w="1421" w:type="dxa"/>
            <w:shd w:val="clear" w:color="auto" w:fill="auto"/>
          </w:tcPr>
          <w:p w:rsidR="00F21374" w:rsidRPr="00442330" w:rsidRDefault="00F64377" w:rsidP="0054759D">
            <w:r w:rsidRPr="00845744">
              <w:t>$2,000,000</w:t>
            </w:r>
          </w:p>
        </w:tc>
      </w:tr>
      <w:tr w:rsidR="00F21374" w:rsidRPr="00442330" w:rsidTr="0054759D">
        <w:tc>
          <w:tcPr>
            <w:tcW w:w="1606" w:type="dxa"/>
            <w:shd w:val="clear" w:color="auto" w:fill="auto"/>
          </w:tcPr>
          <w:p w:rsidR="00F21374" w:rsidRPr="00442330" w:rsidRDefault="00F21374" w:rsidP="0054759D">
            <w:r w:rsidRPr="00442330">
              <w:t>New Mexico</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NM ST §§ 7-7-2; 7-7-3.</w:t>
            </w:r>
          </w:p>
        </w:tc>
        <w:tc>
          <w:tcPr>
            <w:tcW w:w="1739" w:type="dxa"/>
            <w:shd w:val="clear" w:color="auto" w:fill="auto"/>
          </w:tcPr>
          <w:p w:rsidR="00F21374" w:rsidRPr="00442330" w:rsidRDefault="00F21374" w:rsidP="0054759D"/>
        </w:tc>
        <w:tc>
          <w:tcPr>
            <w:tcW w:w="1421" w:type="dxa"/>
            <w:shd w:val="clear" w:color="auto" w:fill="auto"/>
          </w:tcPr>
          <w:p w:rsidR="00F21374" w:rsidRPr="00845744" w:rsidRDefault="00F21374" w:rsidP="0054759D"/>
        </w:tc>
      </w:tr>
      <w:tr w:rsidR="00F21374" w:rsidRPr="00442330" w:rsidTr="0054759D">
        <w:tc>
          <w:tcPr>
            <w:tcW w:w="1606" w:type="dxa"/>
            <w:shd w:val="clear" w:color="auto" w:fill="auto"/>
          </w:tcPr>
          <w:p w:rsidR="00F21374" w:rsidRPr="00442330" w:rsidRDefault="00F21374" w:rsidP="0054759D">
            <w:r w:rsidRPr="00442330">
              <w:t>New York</w:t>
            </w:r>
          </w:p>
        </w:tc>
        <w:tc>
          <w:tcPr>
            <w:tcW w:w="1340" w:type="dxa"/>
            <w:shd w:val="clear" w:color="auto" w:fill="auto"/>
          </w:tcPr>
          <w:p w:rsidR="00F21374" w:rsidRPr="00442330" w:rsidRDefault="00F21374" w:rsidP="0054759D">
            <w:r w:rsidRPr="00442330">
              <w:t>Pick-up Only</w:t>
            </w:r>
          </w:p>
        </w:tc>
        <w:tc>
          <w:tcPr>
            <w:tcW w:w="2750" w:type="dxa"/>
            <w:shd w:val="clear" w:color="auto" w:fill="auto"/>
          </w:tcPr>
          <w:p w:rsidR="00F21374" w:rsidRPr="00442330" w:rsidRDefault="00F21374" w:rsidP="0054759D">
            <w:r w:rsidRPr="00442330">
              <w:t xml:space="preserve">Tax frozen at federal state death tax credit in effect on </w:t>
            </w:r>
            <w:smartTag w:uri="urn:schemas-microsoft-com:office:smarttags" w:element="date">
              <w:smartTagPr>
                <w:attr w:name="ls" w:val="trans"/>
                <w:attr w:name="Month" w:val="7"/>
                <w:attr w:name="Day" w:val="22"/>
                <w:attr w:name="Year" w:val="1998"/>
              </w:smartTagPr>
              <w:r w:rsidRPr="00442330">
                <w:t>July 22, 1998</w:t>
              </w:r>
            </w:smartTag>
            <w:r w:rsidRPr="00442330">
              <w:t xml:space="preserve">.  </w:t>
            </w:r>
          </w:p>
          <w:p w:rsidR="00F21374" w:rsidRPr="00442330" w:rsidRDefault="00F21374" w:rsidP="0054759D">
            <w:r w:rsidRPr="00442330">
              <w:t>NY TAX § 951.</w:t>
            </w:r>
          </w:p>
          <w:p w:rsidR="00F21374" w:rsidRPr="00442330" w:rsidRDefault="00F21374" w:rsidP="0054759D"/>
          <w:p w:rsidR="00F21374" w:rsidRPr="00442330" w:rsidRDefault="00F21374" w:rsidP="0054759D">
            <w:r w:rsidRPr="00442330">
              <w:t xml:space="preserve">Governor signed S. 6060 in 2004 which applies New York Estate Tax on a </w:t>
            </w:r>
            <w:r w:rsidRPr="00442330">
              <w:rPr>
                <w:i/>
              </w:rPr>
              <w:t>pro rata</w:t>
            </w:r>
            <w:r w:rsidRPr="00442330">
              <w:t xml:space="preserve"> basis to non-resident decedents with property subject to New York Estate Tax.</w:t>
            </w:r>
          </w:p>
          <w:p w:rsidR="00F21374" w:rsidRPr="00442330" w:rsidRDefault="00F21374" w:rsidP="0054759D"/>
          <w:p w:rsidR="00F21374" w:rsidRPr="00442330" w:rsidRDefault="00F21374" w:rsidP="0054759D">
            <w:r w:rsidRPr="00442330">
              <w:t>On March 16, 2010, the New York Office of Tax Policy Analysis, Taxpayer Guidance Division issued a notice permitting a separate state QTIP election when no federal estate tax return is required to be filed such as in 2010 when there is no estate tax or when the value of the gross estate is too low to require the filing of a federal return. See TSB-M-10(1)M.</w:t>
            </w:r>
          </w:p>
          <w:p w:rsidR="00F21374" w:rsidRPr="00442330" w:rsidRDefault="00F21374" w:rsidP="0054759D"/>
          <w:p w:rsidR="00F21374" w:rsidRPr="00442330" w:rsidRDefault="00F21374" w:rsidP="0054759D">
            <w:r w:rsidRPr="00442330">
              <w:t xml:space="preserve">Advisory Opinion (TSB-A-08(1)M (October 24, 2008) provides that an interest in an S Corporation owned by a non-resident and containing a condominium in New York is an intangible asset as long as the S Corporation has a real business purpose. If the S Corporation has no business purpose, it appears that </w:t>
            </w:r>
            <w:smartTag w:uri="urn:schemas-microsoft-com:office:smarttags" w:element="State">
              <w:smartTag w:uri="urn:schemas-microsoft-com:office:smarttags" w:element="place">
                <w:r w:rsidRPr="00442330">
                  <w:t>New York</w:t>
                </w:r>
              </w:smartTag>
            </w:smartTag>
            <w:r w:rsidRPr="00442330">
              <w:t xml:space="preserve"> would look through the S Corporation and subject the condominium to </w:t>
            </w:r>
            <w:smartTag w:uri="urn:schemas-microsoft-com:office:smarttags" w:element="State">
              <w:smartTag w:uri="urn:schemas-microsoft-com:office:smarttags" w:element="place">
                <w:r w:rsidRPr="00442330">
                  <w:t>New York</w:t>
                </w:r>
              </w:smartTag>
            </w:smartTag>
            <w:r w:rsidRPr="00442330">
              <w:t xml:space="preserve"> estate tax in the estate of the non-resident.  There would likely be no business purpose if the sole reason for forming the S Corporation was to own assets.</w:t>
            </w:r>
          </w:p>
        </w:tc>
        <w:tc>
          <w:tcPr>
            <w:tcW w:w="1739" w:type="dxa"/>
            <w:shd w:val="clear" w:color="auto" w:fill="auto"/>
          </w:tcPr>
          <w:p w:rsidR="00F21374" w:rsidRPr="00442330" w:rsidRDefault="00F21374" w:rsidP="0054759D">
            <w:r w:rsidRPr="00442330">
              <w:t>The Executive Budget of 2014-2015 which was signed by Governor Cuomo on March 31, 2014 made substantial changes to New York’s estate tax.</w:t>
            </w:r>
          </w:p>
          <w:p w:rsidR="00F21374" w:rsidRPr="00442330" w:rsidRDefault="00F21374" w:rsidP="0054759D"/>
          <w:p w:rsidR="00F21374" w:rsidRPr="00442330" w:rsidRDefault="00F21374" w:rsidP="0054759D">
            <w:r w:rsidRPr="00442330">
              <w:t>The New York estate tax exemption which was $1,000,000 through March 31, 2014 has been increased as follows:</w:t>
            </w:r>
          </w:p>
          <w:p w:rsidR="00F21374" w:rsidRPr="00442330" w:rsidRDefault="00F21374" w:rsidP="0054759D"/>
          <w:p w:rsidR="00F21374" w:rsidRPr="00442330" w:rsidRDefault="00F21374" w:rsidP="0054759D">
            <w:r w:rsidRPr="00442330">
              <w:t>April 1, 2014 to March 31, 2015 -- $2,062,500</w:t>
            </w:r>
          </w:p>
          <w:p w:rsidR="00F21374" w:rsidRPr="00442330" w:rsidRDefault="00F21374" w:rsidP="0054759D"/>
          <w:p w:rsidR="00F21374" w:rsidRPr="00442330" w:rsidRDefault="00F21374" w:rsidP="0054759D">
            <w:r w:rsidRPr="00442330">
              <w:t>April 1, 2015 to March 31, 2016 -- $3,125,000</w:t>
            </w:r>
          </w:p>
          <w:p w:rsidR="00F21374" w:rsidRPr="00442330" w:rsidRDefault="00F21374" w:rsidP="0054759D"/>
          <w:p w:rsidR="00F21374" w:rsidRPr="00442330" w:rsidRDefault="00F21374" w:rsidP="0054759D">
            <w:r w:rsidRPr="00442330">
              <w:t>April 1, 2016 to March 31, 2017 -- $4,187,500</w:t>
            </w:r>
          </w:p>
          <w:p w:rsidR="00F21374" w:rsidRPr="00442330" w:rsidRDefault="00F21374" w:rsidP="0054759D"/>
          <w:p w:rsidR="00F21374" w:rsidRPr="00442330" w:rsidRDefault="00F21374" w:rsidP="0054759D">
            <w:r w:rsidRPr="00442330">
              <w:t>April 1, 2017 to December 31, 2018 -- $5,250,000</w:t>
            </w:r>
          </w:p>
          <w:p w:rsidR="00F21374" w:rsidRPr="00442330" w:rsidRDefault="00F21374" w:rsidP="0054759D"/>
          <w:p w:rsidR="00F21374" w:rsidRPr="00442330" w:rsidRDefault="00F21374" w:rsidP="0054759D">
            <w:r w:rsidRPr="00442330">
              <w:t>As of January 1, 2019, the New York estate tax exemption amount will be the same as the federal estate tax applicable exclusion amount.</w:t>
            </w:r>
          </w:p>
          <w:p w:rsidR="00F21374" w:rsidRPr="00442330" w:rsidRDefault="00F21374" w:rsidP="0054759D"/>
          <w:p w:rsidR="00F21374" w:rsidRPr="00442330" w:rsidRDefault="00F21374" w:rsidP="0054759D">
            <w:r w:rsidRPr="00442330">
              <w:t>The maximum rate of tax will continue to be 16%.</w:t>
            </w:r>
          </w:p>
          <w:p w:rsidR="00F21374" w:rsidRPr="00442330" w:rsidRDefault="00F21374" w:rsidP="0054759D"/>
          <w:p w:rsidR="00F21374" w:rsidRPr="00442330" w:rsidRDefault="00F21374" w:rsidP="0054759D">
            <w:r w:rsidRPr="00442330">
              <w:t>Taxable gifts within three years of death between April 1, 2014 and December 31, 2018 will be added back to a decedent’s estate for purposes of calculating the New York tax.</w:t>
            </w:r>
          </w:p>
          <w:p w:rsidR="00F21374" w:rsidRPr="00442330" w:rsidRDefault="00F21374" w:rsidP="0054759D"/>
          <w:p w:rsidR="00F21374" w:rsidRDefault="00F21374" w:rsidP="0054759D">
            <w:r w:rsidRPr="00442330">
              <w:t>The New York estate tax will be a cliff tax.  If the value of the estate is more than 105% of the then current exemption, the exemption will not be available.</w:t>
            </w:r>
          </w:p>
          <w:p w:rsidR="00A84D93" w:rsidRDefault="00A84D93" w:rsidP="0054759D"/>
          <w:p w:rsidR="00A84D93" w:rsidRPr="00144872" w:rsidRDefault="00A84D93" w:rsidP="0054759D">
            <w:r w:rsidRPr="00144872">
              <w:t>On April 1, 2015, as part of 2015-2016 Executive Budget, New York enacted changes to the New York Estate Tax.  New York first clarified that the new rate schedule enacted in 2014 applies to all decedents dying after April 1, 2014.  Previously, the rate schedule only applied through March 31, 2015.  New York then modified the three year gift add-back provision to make it clear that the gift add-back does not apply to any individuals dying on or after January 1, 2019.</w:t>
            </w:r>
            <w:r w:rsidR="009936CF" w:rsidRPr="00144872">
              <w:t xml:space="preserve">  Previously, the gift add-back provision did not apply to gifts made on or after January 1, 2019.</w:t>
            </w:r>
          </w:p>
          <w:p w:rsidR="009936CF" w:rsidRPr="009936CF" w:rsidRDefault="009936CF" w:rsidP="0054759D">
            <w:pPr>
              <w:rPr>
                <w:highlight w:val="yellow"/>
              </w:rPr>
            </w:pPr>
          </w:p>
          <w:p w:rsidR="009936CF" w:rsidRPr="00442330" w:rsidRDefault="009936CF" w:rsidP="009936CF">
            <w:r w:rsidRPr="00EA1E48">
              <w:t>New York continues to not permit portability for New York estates and no QTIP election is allowed.</w:t>
            </w:r>
          </w:p>
        </w:tc>
        <w:tc>
          <w:tcPr>
            <w:tcW w:w="1421" w:type="dxa"/>
            <w:shd w:val="clear" w:color="auto" w:fill="auto"/>
          </w:tcPr>
          <w:p w:rsidR="00F21374" w:rsidRPr="00845744" w:rsidRDefault="00F21374" w:rsidP="0054759D">
            <w:r w:rsidRPr="00845744">
              <w:t>$</w:t>
            </w:r>
            <w:r w:rsidR="0054759D" w:rsidRPr="00845744">
              <w:t>4,187,500 (April 1, 2016 through March 31, 2017</w:t>
            </w:r>
            <w:r w:rsidRPr="00845744">
              <w:t>)</w:t>
            </w:r>
          </w:p>
          <w:p w:rsidR="00F64377" w:rsidRPr="00845744" w:rsidRDefault="00F64377" w:rsidP="0054759D"/>
          <w:p w:rsidR="00F64377" w:rsidRPr="00845744" w:rsidRDefault="00F64377" w:rsidP="0054759D">
            <w:r w:rsidRPr="00845744">
              <w:t>$5,250,000 (April 1, 2017 through December 31, 2018)</w:t>
            </w:r>
          </w:p>
        </w:tc>
      </w:tr>
      <w:tr w:rsidR="00F21374" w:rsidRPr="00442330" w:rsidTr="0054759D">
        <w:tc>
          <w:tcPr>
            <w:tcW w:w="1606" w:type="dxa"/>
            <w:shd w:val="clear" w:color="auto" w:fill="auto"/>
          </w:tcPr>
          <w:p w:rsidR="00F21374" w:rsidRPr="00442330" w:rsidRDefault="00F21374" w:rsidP="0054759D">
            <w:r w:rsidRPr="00442330">
              <w:t>North Carolina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tc>
        <w:tc>
          <w:tcPr>
            <w:tcW w:w="1739" w:type="dxa"/>
            <w:shd w:val="clear" w:color="auto" w:fill="auto"/>
          </w:tcPr>
          <w:p w:rsidR="00F21374" w:rsidRPr="00442330" w:rsidRDefault="00F21374" w:rsidP="0054759D">
            <w:r w:rsidRPr="00442330">
              <w:t>On July 23, 2013, the Governor signed HB 998 which repealed the North Carolina estate tax retroactively to January 1, 2013.</w:t>
            </w:r>
          </w:p>
        </w:tc>
        <w:tc>
          <w:tcPr>
            <w:tcW w:w="1421" w:type="dxa"/>
            <w:shd w:val="clear" w:color="auto" w:fill="auto"/>
          </w:tcPr>
          <w:p w:rsidR="00F21374" w:rsidRPr="00442330" w:rsidRDefault="00F21374" w:rsidP="0054759D">
            <w:pPr>
              <w:rPr>
                <w:highlight w:val="yellow"/>
              </w:rPr>
            </w:pPr>
          </w:p>
        </w:tc>
      </w:tr>
      <w:tr w:rsidR="00F21374" w:rsidRPr="00442330" w:rsidTr="0054759D">
        <w:tc>
          <w:tcPr>
            <w:tcW w:w="1606" w:type="dxa"/>
            <w:shd w:val="clear" w:color="auto" w:fill="auto"/>
          </w:tcPr>
          <w:p w:rsidR="00F21374" w:rsidRPr="00442330" w:rsidRDefault="00F21374" w:rsidP="0054759D">
            <w:r w:rsidRPr="00442330">
              <w:t>North Dakota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ND ST § 57-37.1-04</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Ohio</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 xml:space="preserve">Governor Taft signed the budget bill, 2005 HB 66, repealing the </w:t>
            </w:r>
            <w:smartTag w:uri="urn:schemas-microsoft-com:office:smarttags" w:element="State">
              <w:smartTag w:uri="urn:schemas-microsoft-com:office:smarttags" w:element="place">
                <w:r w:rsidRPr="00442330">
                  <w:t>Ohio</w:t>
                </w:r>
              </w:smartTag>
            </w:smartTag>
            <w:r w:rsidRPr="00442330">
              <w:t xml:space="preserve"> estate (sponge) tax prospectively and granting credit for it retroactively. This was effective </w:t>
            </w:r>
            <w:smartTag w:uri="urn:schemas-microsoft-com:office:smarttags" w:element="date">
              <w:smartTagPr>
                <w:attr w:name="ls" w:val="trans"/>
                <w:attr w:name="Month" w:val="6"/>
                <w:attr w:name="Day" w:val="30"/>
                <w:attr w:name="Year" w:val="2005"/>
              </w:smartTagPr>
              <w:r w:rsidRPr="00442330">
                <w:t>June 30, 2005</w:t>
              </w:r>
            </w:smartTag>
            <w:r w:rsidRPr="00442330">
              <w:t xml:space="preserve"> and killed the sponge tax.</w:t>
            </w:r>
          </w:p>
          <w:p w:rsidR="00F21374" w:rsidRPr="00442330" w:rsidRDefault="00F21374" w:rsidP="0054759D"/>
          <w:p w:rsidR="00F21374" w:rsidRPr="00442330" w:rsidRDefault="00F21374" w:rsidP="0054759D">
            <w:r w:rsidRPr="00442330">
              <w:t>On June 30, 2011, Governor Kasich signed HB 153, the biannual budget bill, which contained a repeal of the Ohio state estate tax effective January 1, 2013.</w:t>
            </w:r>
          </w:p>
          <w:p w:rsidR="00F21374" w:rsidRPr="00442330" w:rsidRDefault="00F21374" w:rsidP="0054759D">
            <w:r w:rsidRPr="00442330">
              <w:rPr>
                <w:rFonts w:ascii="Verdana" w:hAnsi="Verdana"/>
                <w:sz w:val="20"/>
                <w:szCs w:val="20"/>
              </w:rPr>
              <w:t> </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Oklahoma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OK ST Title 68 § 804</w:t>
            </w:r>
          </w:p>
          <w:p w:rsidR="00F21374" w:rsidRPr="00442330" w:rsidRDefault="00F21374" w:rsidP="0054759D"/>
          <w:p w:rsidR="00F21374" w:rsidRPr="00442330" w:rsidRDefault="00F21374" w:rsidP="0054759D">
            <w:r w:rsidRPr="00442330">
              <w:t xml:space="preserve">The separate estate tax was phased out as of </w:t>
            </w:r>
            <w:smartTag w:uri="urn:schemas-microsoft-com:office:smarttags" w:element="date">
              <w:smartTagPr>
                <w:attr w:name="ls" w:val="trans"/>
                <w:attr w:name="Month" w:val="1"/>
                <w:attr w:name="Day" w:val="1"/>
                <w:attr w:name="Year" w:val="2010"/>
              </w:smartTagPr>
              <w:r w:rsidRPr="00442330">
                <w:t>January 1, 2010</w:t>
              </w:r>
            </w:smartTag>
            <w:r w:rsidRPr="00442330">
              <w:t xml:space="preserve">.  </w:t>
            </w:r>
          </w:p>
        </w:tc>
        <w:tc>
          <w:tcPr>
            <w:tcW w:w="1739" w:type="dxa"/>
            <w:shd w:val="clear" w:color="auto" w:fill="auto"/>
          </w:tcPr>
          <w:p w:rsidR="00F21374" w:rsidRPr="00442330" w:rsidRDefault="00F21374" w:rsidP="0054759D"/>
          <w:p w:rsidR="00F21374" w:rsidRPr="00442330" w:rsidRDefault="00F21374" w:rsidP="0054759D"/>
          <w:p w:rsidR="00F21374" w:rsidRPr="00442330" w:rsidRDefault="00F21374" w:rsidP="0054759D"/>
        </w:tc>
        <w:tc>
          <w:tcPr>
            <w:tcW w:w="1421" w:type="dxa"/>
            <w:shd w:val="clear" w:color="auto" w:fill="auto"/>
          </w:tcPr>
          <w:p w:rsidR="00F21374" w:rsidRPr="00442330" w:rsidRDefault="00F21374" w:rsidP="0054759D">
            <w:pPr>
              <w:rPr>
                <w:highlight w:val="yellow"/>
              </w:rPr>
            </w:pPr>
          </w:p>
        </w:tc>
      </w:tr>
      <w:tr w:rsidR="00F21374" w:rsidRPr="00442330" w:rsidTr="0054759D">
        <w:tc>
          <w:tcPr>
            <w:tcW w:w="1606" w:type="dxa"/>
            <w:shd w:val="clear" w:color="auto" w:fill="auto"/>
          </w:tcPr>
          <w:p w:rsidR="00F21374" w:rsidRPr="00442330" w:rsidRDefault="00F21374" w:rsidP="0054759D">
            <w:r w:rsidRPr="00442330">
              <w:t>Oregon</w:t>
            </w:r>
          </w:p>
        </w:tc>
        <w:tc>
          <w:tcPr>
            <w:tcW w:w="1340" w:type="dxa"/>
            <w:shd w:val="clear" w:color="auto" w:fill="auto"/>
          </w:tcPr>
          <w:p w:rsidR="00F21374" w:rsidRPr="00442330" w:rsidRDefault="00F21374" w:rsidP="0054759D">
            <w:r w:rsidRPr="00442330">
              <w:t>Separate Estate Tax</w:t>
            </w:r>
          </w:p>
        </w:tc>
        <w:tc>
          <w:tcPr>
            <w:tcW w:w="2750" w:type="dxa"/>
            <w:shd w:val="clear" w:color="auto" w:fill="auto"/>
          </w:tcPr>
          <w:p w:rsidR="00F21374" w:rsidRPr="00442330" w:rsidRDefault="00F21374" w:rsidP="0054759D">
            <w:r w:rsidRPr="00442330">
              <w:t>On June 28, 2011, Oregon’s governor signed HB 2541 which replaces Oregon’s pick-up tax with a stand-alone estate tax effective January 1, 2012.</w:t>
            </w:r>
          </w:p>
          <w:p w:rsidR="00F21374" w:rsidRPr="00442330" w:rsidRDefault="00F21374" w:rsidP="0054759D">
            <w:r w:rsidRPr="00442330">
              <w:t>The new tax has a $1 million threshold with rates increasing from ten percent to sixteen percent between $1 million and $9.5 million.</w:t>
            </w:r>
          </w:p>
          <w:p w:rsidR="00F21374" w:rsidRPr="00442330" w:rsidRDefault="00F21374" w:rsidP="0054759D"/>
          <w:p w:rsidR="00F21374" w:rsidRPr="00442330" w:rsidRDefault="00F21374" w:rsidP="0054759D">
            <w:r w:rsidRPr="00442330">
              <w:t xml:space="preserve">Determination of the estate for Oregon estate tax purposes is based upon the federal taxable estate with adjustments. </w:t>
            </w:r>
          </w:p>
        </w:tc>
        <w:tc>
          <w:tcPr>
            <w:tcW w:w="1739" w:type="dxa"/>
            <w:shd w:val="clear" w:color="auto" w:fill="auto"/>
          </w:tcPr>
          <w:p w:rsidR="00F21374" w:rsidRPr="00442330" w:rsidRDefault="00F21374" w:rsidP="0054759D">
            <w:r w:rsidRPr="00442330">
              <w:t xml:space="preserve"> </w:t>
            </w:r>
          </w:p>
        </w:tc>
        <w:tc>
          <w:tcPr>
            <w:tcW w:w="1421" w:type="dxa"/>
            <w:shd w:val="clear" w:color="auto" w:fill="auto"/>
          </w:tcPr>
          <w:p w:rsidR="00F21374" w:rsidRPr="00442330" w:rsidRDefault="00F21374" w:rsidP="0054759D">
            <w:r w:rsidRPr="00442330">
              <w:t>$1,000,000</w:t>
            </w:r>
          </w:p>
        </w:tc>
      </w:tr>
      <w:tr w:rsidR="00F21374" w:rsidRPr="00442330" w:rsidTr="0054759D">
        <w:tc>
          <w:tcPr>
            <w:tcW w:w="1606" w:type="dxa"/>
            <w:shd w:val="clear" w:color="auto" w:fill="auto"/>
          </w:tcPr>
          <w:p w:rsidR="00F21374" w:rsidRPr="00442330" w:rsidRDefault="00F21374" w:rsidP="0054759D">
            <w:r w:rsidRPr="00442330">
              <w:t>Pennsylvania</w:t>
            </w:r>
          </w:p>
        </w:tc>
        <w:tc>
          <w:tcPr>
            <w:tcW w:w="1340" w:type="dxa"/>
            <w:shd w:val="clear" w:color="auto" w:fill="auto"/>
          </w:tcPr>
          <w:p w:rsidR="00F21374" w:rsidRPr="00442330" w:rsidRDefault="00F21374" w:rsidP="0054759D">
            <w:r w:rsidRPr="00442330">
              <w:t>Inheritance Tax</w:t>
            </w:r>
          </w:p>
          <w:p w:rsidR="00F21374" w:rsidRPr="00442330" w:rsidRDefault="00F21374" w:rsidP="0054759D"/>
        </w:tc>
        <w:tc>
          <w:tcPr>
            <w:tcW w:w="2750" w:type="dxa"/>
            <w:shd w:val="clear" w:color="auto" w:fill="auto"/>
          </w:tcPr>
          <w:p w:rsidR="00F21374" w:rsidRPr="00442330" w:rsidRDefault="00F21374" w:rsidP="0054759D">
            <w:r w:rsidRPr="00442330">
              <w:t>Tax is tied to the federal state death tax credit to the extent that the available federal state death tax credit exceeds the state inheritance tax.</w:t>
            </w:r>
          </w:p>
          <w:p w:rsidR="00F21374" w:rsidRPr="00442330" w:rsidRDefault="00F21374" w:rsidP="0054759D">
            <w:r w:rsidRPr="00442330">
              <w:t xml:space="preserve">PA ST T. 72 P.S. § 9117 amended </w:t>
            </w:r>
            <w:smartTag w:uri="urn:schemas-microsoft-com:office:smarttags" w:element="date">
              <w:smartTagPr>
                <w:attr w:name="ls" w:val="trans"/>
                <w:attr w:name="Month" w:val="12"/>
                <w:attr w:name="Day" w:val="23"/>
                <w:attr w:name="Year" w:val="2003"/>
              </w:smartTagPr>
              <w:r w:rsidRPr="00442330">
                <w:t>December 23, 2003</w:t>
              </w:r>
            </w:smartTag>
            <w:r w:rsidRPr="00442330">
              <w:t>.</w:t>
            </w:r>
          </w:p>
          <w:p w:rsidR="00F21374" w:rsidRPr="00442330" w:rsidRDefault="00F21374" w:rsidP="0054759D"/>
          <w:p w:rsidR="00F21374" w:rsidRPr="00442330" w:rsidRDefault="00F21374" w:rsidP="0054759D">
            <w:smartTag w:uri="urn:schemas-microsoft-com:office:smarttags" w:element="State">
              <w:smartTag w:uri="urn:schemas-microsoft-com:office:smarttags" w:element="place">
                <w:r w:rsidRPr="00442330">
                  <w:t>Pennsylvania</w:t>
                </w:r>
              </w:smartTag>
            </w:smartTag>
            <w:r w:rsidRPr="00442330">
              <w:t xml:space="preserve"> had decoupled its pick-up tax in 2002, but has now recoupled retroactively. The recoupling does not affect the </w:t>
            </w:r>
            <w:smartTag w:uri="urn:schemas-microsoft-com:office:smarttags" w:element="State">
              <w:smartTag w:uri="urn:schemas-microsoft-com:office:smarttags" w:element="place">
                <w:r w:rsidRPr="00442330">
                  <w:t>Pennsylvania</w:t>
                </w:r>
              </w:smartTag>
            </w:smartTag>
            <w:r w:rsidRPr="00442330">
              <w:t xml:space="preserve"> inheritance tax which is independent of the federal state death tax credit. </w:t>
            </w:r>
          </w:p>
          <w:p w:rsidR="00F21374" w:rsidRPr="00442330" w:rsidRDefault="00F21374" w:rsidP="0054759D"/>
          <w:p w:rsidR="00F21374" w:rsidRPr="00442330" w:rsidRDefault="00F21374" w:rsidP="0054759D">
            <w:smartTag w:uri="urn:schemas-microsoft-com:office:smarttags" w:element="State">
              <w:smartTag w:uri="urn:schemas-microsoft-com:office:smarttags" w:element="place">
                <w:r w:rsidRPr="00442330">
                  <w:t>Pennsylvania</w:t>
                </w:r>
              </w:smartTag>
            </w:smartTag>
            <w:r w:rsidRPr="00442330">
              <w:t xml:space="preserve"> recognizes a state QTIP election.</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Rhode Island</w:t>
            </w:r>
          </w:p>
        </w:tc>
        <w:tc>
          <w:tcPr>
            <w:tcW w:w="1340" w:type="dxa"/>
            <w:shd w:val="clear" w:color="auto" w:fill="auto"/>
          </w:tcPr>
          <w:p w:rsidR="00F21374" w:rsidRPr="00442330" w:rsidRDefault="00F21374" w:rsidP="0054759D">
            <w:r w:rsidRPr="00442330">
              <w:t>Pick-up Only</w:t>
            </w:r>
          </w:p>
        </w:tc>
        <w:tc>
          <w:tcPr>
            <w:tcW w:w="2750" w:type="dxa"/>
            <w:shd w:val="clear" w:color="auto" w:fill="auto"/>
          </w:tcPr>
          <w:p w:rsidR="00F21374" w:rsidRPr="00442330" w:rsidRDefault="00F21374" w:rsidP="0054759D">
            <w:r w:rsidRPr="00442330">
              <w:t>Tax frozen at federal state death tax credit in effect on January 1, 2001, with certain adjustments (see below).  RI ST § 44-22-1.1.</w:t>
            </w:r>
          </w:p>
          <w:p w:rsidR="00F21374" w:rsidRPr="00442330" w:rsidRDefault="00F21374" w:rsidP="0054759D"/>
          <w:p w:rsidR="00F21374" w:rsidRPr="00442330" w:rsidRDefault="00F21374" w:rsidP="0054759D">
            <w:smartTag w:uri="urn:schemas-microsoft-com:office:smarttags" w:element="State">
              <w:smartTag w:uri="urn:schemas-microsoft-com:office:smarttags" w:element="place">
                <w:r w:rsidRPr="00442330">
                  <w:t>Rhode Island</w:t>
                </w:r>
              </w:smartTag>
            </w:smartTag>
            <w:r w:rsidRPr="00442330">
              <w:t xml:space="preserve"> recognized a separate state QTIP election in the State’s Tax Division Ruling Request No. 2003-03.</w:t>
            </w:r>
          </w:p>
          <w:p w:rsidR="00F21374" w:rsidRPr="00442330" w:rsidRDefault="00F21374" w:rsidP="0054759D"/>
          <w:p w:rsidR="00F21374" w:rsidRPr="00442330" w:rsidRDefault="00F21374" w:rsidP="0054759D">
            <w:pPr>
              <w:autoSpaceDE w:val="0"/>
              <w:autoSpaceDN w:val="0"/>
              <w:adjustRightInd w:val="0"/>
              <w:spacing w:before="100" w:after="100"/>
            </w:pPr>
            <w:r w:rsidRPr="00442330">
              <w:rPr>
                <w:rFonts w:cs="Arial"/>
                <w:szCs w:val="20"/>
              </w:rPr>
              <w:t xml:space="preserve">Rhode Island's Governor signed into law HB 5983 on </w:t>
            </w:r>
            <w:smartTag w:uri="urn:schemas-microsoft-com:office:smarttags" w:element="date">
              <w:smartTagPr>
                <w:attr w:name="ls" w:val="trans"/>
                <w:attr w:name="Month" w:val="6"/>
                <w:attr w:name="Day" w:val="30"/>
                <w:attr w:name="Year" w:val="2009"/>
              </w:smartTagPr>
              <w:r w:rsidRPr="00442330">
                <w:rPr>
                  <w:rFonts w:cs="Arial"/>
                  <w:szCs w:val="20"/>
                </w:rPr>
                <w:t>June 30, 2009</w:t>
              </w:r>
            </w:smartTag>
            <w:r w:rsidRPr="00442330">
              <w:rPr>
                <w:rFonts w:cs="Arial"/>
                <w:szCs w:val="20"/>
              </w:rPr>
              <w:t xml:space="preserve">, effective for deaths occurring on or after </w:t>
            </w:r>
            <w:smartTag w:uri="urn:schemas-microsoft-com:office:smarttags" w:element="date">
              <w:smartTagPr>
                <w:attr w:name="ls" w:val="trans"/>
                <w:attr w:name="Month" w:val="1"/>
                <w:attr w:name="Day" w:val="1"/>
                <w:attr w:name="Year" w:val="2010"/>
              </w:smartTagPr>
              <w:r w:rsidRPr="00442330">
                <w:rPr>
                  <w:rFonts w:cs="Arial"/>
                  <w:szCs w:val="20"/>
                </w:rPr>
                <w:t>January 1, 2010</w:t>
              </w:r>
            </w:smartTag>
            <w:r w:rsidRPr="00442330">
              <w:rPr>
                <w:rFonts w:cs="Arial"/>
                <w:szCs w:val="20"/>
              </w:rPr>
              <w:t xml:space="preserve">, an increase in the amount exempt from Rhode Island estate tax from $675,000, to $850,000, with annual adjustments beginning for deaths occurring on or after </w:t>
            </w:r>
            <w:smartTag w:uri="urn:schemas-microsoft-com:office:smarttags" w:element="date">
              <w:smartTagPr>
                <w:attr w:name="ls" w:val="trans"/>
                <w:attr w:name="Month" w:val="1"/>
                <w:attr w:name="Day" w:val="1"/>
                <w:attr w:name="Year" w:val="2011"/>
              </w:smartTagPr>
              <w:r w:rsidRPr="00442330">
                <w:rPr>
                  <w:rFonts w:cs="Arial"/>
                  <w:szCs w:val="20"/>
                </w:rPr>
                <w:t>January 1, 2011</w:t>
              </w:r>
            </w:smartTag>
            <w:r w:rsidRPr="00442330">
              <w:rPr>
                <w:rFonts w:cs="Arial"/>
                <w:szCs w:val="20"/>
              </w:rPr>
              <w:t xml:space="preserve"> based on "the percentage of increase in the Consumer Price Index for all Urban Consumers (</w:t>
            </w:r>
            <w:smartTag w:uri="urn:schemas-microsoft-com:office:smarttags" w:element="stockticker">
              <w:r w:rsidRPr="00442330">
                <w:rPr>
                  <w:rFonts w:cs="Arial"/>
                  <w:szCs w:val="20"/>
                </w:rPr>
                <w:t>CPI</w:t>
              </w:r>
            </w:smartTag>
            <w:r w:rsidRPr="00442330">
              <w:rPr>
                <w:rFonts w:cs="Arial"/>
                <w:szCs w:val="20"/>
              </w:rPr>
              <w:t xml:space="preserve">-U). . .  rounded up to the nearest five dollar ($5.00) increment."  </w:t>
            </w:r>
            <w:r w:rsidRPr="00442330">
              <w:t>RI ST § 44-22-1.1</w:t>
            </w:r>
            <w:r w:rsidRPr="00442330">
              <w:rPr>
                <w:rFonts w:cs="Arial"/>
                <w:szCs w:val="20"/>
              </w:rPr>
              <w:t>.</w:t>
            </w:r>
          </w:p>
          <w:p w:rsidR="00F21374" w:rsidRPr="00442330" w:rsidRDefault="00F21374" w:rsidP="0054759D"/>
        </w:tc>
        <w:tc>
          <w:tcPr>
            <w:tcW w:w="1739" w:type="dxa"/>
            <w:shd w:val="clear" w:color="auto" w:fill="auto"/>
          </w:tcPr>
          <w:p w:rsidR="00F21374" w:rsidRPr="00442330" w:rsidRDefault="00F21374" w:rsidP="0054759D">
            <w:pPr>
              <w:autoSpaceDE w:val="0"/>
              <w:autoSpaceDN w:val="0"/>
              <w:adjustRightInd w:val="0"/>
              <w:spacing w:before="100" w:after="100"/>
              <w:rPr>
                <w:highlight w:val="yellow"/>
              </w:rPr>
            </w:pPr>
            <w:r w:rsidRPr="00442330">
              <w:t>On June 19, 2014, the Rhode Island Governor approved changes to the Rhode Island Estate Tax by increasing the exemption to $1,500,000 indexed for inflation in 2015 and eliminating the cliff tax.</w:t>
            </w:r>
          </w:p>
        </w:tc>
        <w:tc>
          <w:tcPr>
            <w:tcW w:w="1421" w:type="dxa"/>
            <w:shd w:val="clear" w:color="auto" w:fill="auto"/>
          </w:tcPr>
          <w:p w:rsidR="00F21374" w:rsidRPr="00442330" w:rsidRDefault="00F21374" w:rsidP="0054759D">
            <w:r w:rsidRPr="009936CF">
              <w:t>$1,500,000</w:t>
            </w:r>
          </w:p>
        </w:tc>
      </w:tr>
      <w:tr w:rsidR="00F21374" w:rsidRPr="00442330" w:rsidTr="0054759D">
        <w:tc>
          <w:tcPr>
            <w:tcW w:w="1606" w:type="dxa"/>
            <w:shd w:val="clear" w:color="auto" w:fill="auto"/>
          </w:tcPr>
          <w:p w:rsidR="00F21374" w:rsidRPr="00442330" w:rsidRDefault="00F21374" w:rsidP="0054759D">
            <w:r w:rsidRPr="00442330">
              <w:t>South Carolina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SC ST</w:t>
                </w:r>
              </w:smartTag>
            </w:smartTag>
            <w:r w:rsidRPr="00442330">
              <w:t xml:space="preserve"> §§ 12-16-510; </w:t>
            </w:r>
            <w:smartTag w:uri="urn:schemas-microsoft-com:office:smarttags" w:element="date">
              <w:smartTagPr>
                <w:attr w:name="ls" w:val="trans"/>
                <w:attr w:name="Month" w:val="12"/>
                <w:attr w:name="Day" w:val="16"/>
                <w:attr w:name="Year" w:val="2020"/>
              </w:smartTagPr>
              <w:r w:rsidRPr="00442330">
                <w:t>12-16-20</w:t>
              </w:r>
            </w:smartTag>
            <w:r w:rsidRPr="00442330">
              <w:t xml:space="preserve"> and </w:t>
            </w:r>
            <w:smartTag w:uri="urn:schemas-microsoft-com:office:smarttags" w:element="date">
              <w:smartTagPr>
                <w:attr w:name="ls" w:val="trans"/>
                <w:attr w:name="Month" w:val="12"/>
                <w:attr w:name="Day" w:val="6"/>
                <w:attr w:name="Year" w:val="1940"/>
              </w:smartTagPr>
              <w:r w:rsidRPr="00442330">
                <w:t>12-6-40</w:t>
              </w:r>
            </w:smartTag>
            <w:r w:rsidRPr="00442330">
              <w:t>, amended in 2002.</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South Dakota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SD ST</w:t>
                </w:r>
              </w:smartTag>
            </w:smartTag>
            <w:r w:rsidRPr="00442330">
              <w:t xml:space="preserve"> §§ 10-40A-3; 10-40A-1 (as amended Feb. 2002).</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Tennessee</w:t>
            </w:r>
          </w:p>
        </w:tc>
        <w:tc>
          <w:tcPr>
            <w:tcW w:w="1340" w:type="dxa"/>
            <w:shd w:val="clear" w:color="auto" w:fill="auto"/>
          </w:tcPr>
          <w:p w:rsidR="00F21374" w:rsidRPr="00442330" w:rsidRDefault="0054759D" w:rsidP="0054759D">
            <w:r w:rsidRPr="001B312F">
              <w:t>None</w:t>
            </w:r>
          </w:p>
        </w:tc>
        <w:tc>
          <w:tcPr>
            <w:tcW w:w="2750" w:type="dxa"/>
            <w:shd w:val="clear" w:color="auto" w:fill="auto"/>
          </w:tcPr>
          <w:p w:rsidR="00F21374" w:rsidRPr="00442330" w:rsidRDefault="00F21374" w:rsidP="0054759D">
            <w:r w:rsidRPr="00442330">
              <w:t>Pick-up 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TN ST</w:t>
                </w:r>
              </w:smartTag>
            </w:smartTag>
            <w:r w:rsidRPr="00442330">
              <w:t xml:space="preserve"> §§ 67-8-202; 67-8-203. </w:t>
            </w:r>
          </w:p>
          <w:p w:rsidR="00F21374" w:rsidRPr="00442330" w:rsidRDefault="00F21374" w:rsidP="0054759D"/>
          <w:p w:rsidR="00F21374" w:rsidRPr="00C05B2A" w:rsidRDefault="00C05B2A" w:rsidP="0054759D">
            <w:r w:rsidRPr="00BC15A5">
              <w:t>Tennessee had a separate inheritance tax which was phased out as of January 1, 2016.</w:t>
            </w:r>
          </w:p>
          <w:p w:rsidR="00F21374" w:rsidRPr="00442330" w:rsidRDefault="00F21374" w:rsidP="0054759D"/>
        </w:tc>
        <w:tc>
          <w:tcPr>
            <w:tcW w:w="1739" w:type="dxa"/>
            <w:shd w:val="clear" w:color="auto" w:fill="auto"/>
          </w:tcPr>
          <w:p w:rsidR="00F21374" w:rsidRPr="001B312F" w:rsidRDefault="00F21374" w:rsidP="0054759D">
            <w:r w:rsidRPr="001B312F">
              <w:t>On May 2, 2012, the Tennessee legislature pas</w:t>
            </w:r>
            <w:r w:rsidR="003F6608" w:rsidRPr="001B312F">
              <w:t>sed HB 3760/SB 3762 which phased</w:t>
            </w:r>
            <w:r w:rsidRPr="001B312F">
              <w:t xml:space="preserve"> out the Tennessee Inheritance Tax as of January 1, 2016.  The Tennes</w:t>
            </w:r>
            <w:r w:rsidR="003F6608" w:rsidRPr="001B312F">
              <w:t>see Inheritance Tax Exemption was</w:t>
            </w:r>
            <w:r w:rsidRPr="001B312F">
              <w:t xml:space="preserve"> increased to $1.25 million in 2013, $2 million in 2014, and $5 million in 2015.</w:t>
            </w:r>
          </w:p>
          <w:p w:rsidR="00F21374" w:rsidRPr="001B312F" w:rsidRDefault="00F21374" w:rsidP="0054759D"/>
          <w:p w:rsidR="00F21374" w:rsidRPr="00442330" w:rsidRDefault="00F21374" w:rsidP="0054759D">
            <w:r w:rsidRPr="001B312F">
              <w:t>On May 2, 2012, the Tennessee legislature also passed HB 2840/SB2777 which repealed the Tennessee state gift tax retroactive to January 1, 2012.</w:t>
            </w:r>
          </w:p>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Texas</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C05B2A" w:rsidRDefault="00F21374" w:rsidP="00C05B2A">
            <w:pPr>
              <w:rPr>
                <w:highlight w:val="yellow"/>
              </w:rPr>
            </w:pPr>
            <w:r w:rsidRPr="00F64377">
              <w:t xml:space="preserve">Tax </w:t>
            </w:r>
            <w:r w:rsidR="00C05B2A" w:rsidRPr="00F64377">
              <w:t>was permanently repealed effective as of September 15, 2015 when Chapter 211 of the Texas Tax Code was repealed. Prior to September 15, 2015, the tax was tied to the federal state death tax credit.</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Utah</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smartTag w:uri="urn:schemas-microsoft-com:office:smarttags" w:element="Street">
              <w:smartTag w:uri="urn:schemas-microsoft-com:office:smarttags" w:element="address">
                <w:r w:rsidRPr="00442330">
                  <w:t>UT ST</w:t>
                </w:r>
              </w:smartTag>
            </w:smartTag>
            <w:r w:rsidRPr="00442330">
              <w:t xml:space="preserve"> § 59-11-102; 59-11-103.</w:t>
            </w:r>
          </w:p>
        </w:tc>
        <w:tc>
          <w:tcPr>
            <w:tcW w:w="1739" w:type="dxa"/>
            <w:shd w:val="clear" w:color="auto" w:fill="auto"/>
          </w:tcPr>
          <w:p w:rsidR="00F21374" w:rsidRPr="00442330" w:rsidRDefault="00F21374" w:rsidP="0054759D">
            <w:pPr>
              <w:rPr>
                <w:highlight w:val="yellow"/>
              </w:rPr>
            </w:pPr>
          </w:p>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Vermont</w:t>
            </w:r>
          </w:p>
        </w:tc>
        <w:tc>
          <w:tcPr>
            <w:tcW w:w="1340" w:type="dxa"/>
            <w:shd w:val="clear" w:color="auto" w:fill="auto"/>
          </w:tcPr>
          <w:p w:rsidR="00F21374" w:rsidRPr="00442330" w:rsidRDefault="00F21374" w:rsidP="0054759D">
            <w:r w:rsidRPr="00442330">
              <w:t xml:space="preserve">Modified Pick-up </w:t>
            </w:r>
          </w:p>
        </w:tc>
        <w:tc>
          <w:tcPr>
            <w:tcW w:w="2750" w:type="dxa"/>
            <w:shd w:val="clear" w:color="auto" w:fill="auto"/>
          </w:tcPr>
          <w:p w:rsidR="00F21374" w:rsidRPr="00442330" w:rsidRDefault="00F21374" w:rsidP="0054759D">
            <w:r w:rsidRPr="00442330">
              <w:t>In 2010, Vermont increased the estate tax exemption threshold from $2,000,000 to $2,750,000 for decedents dying January 1, 2011.  As of January 1, 2012 the exclusion is scheduled to equal the federal estate tax applicable exclusion, so long as the FET exclusion is not less than $2,000,000 and not more than $3,500,000.  VT ST T. 32 § 7442a.</w:t>
            </w:r>
          </w:p>
          <w:p w:rsidR="00F21374" w:rsidRPr="00442330" w:rsidRDefault="00F21374" w:rsidP="0054759D"/>
          <w:p w:rsidR="00F21374" w:rsidRPr="00442330" w:rsidRDefault="00F21374" w:rsidP="0054759D">
            <w:r w:rsidRPr="00442330">
              <w:t>Previously the estate tax was frozen at federal state death tax credit in effect on January 1, 2001. VT ST T. 32 §§ 7402(8), 7442a, 7475, amended on June 21, 2002.</w:t>
            </w:r>
          </w:p>
          <w:p w:rsidR="00F21374" w:rsidRPr="00442330" w:rsidRDefault="00F21374" w:rsidP="0054759D">
            <w:pPr>
              <w:rPr>
                <w:b/>
              </w:rPr>
            </w:pPr>
          </w:p>
          <w:p w:rsidR="00F21374" w:rsidRPr="00442330" w:rsidRDefault="00F21374" w:rsidP="0054759D">
            <w:r w:rsidRPr="00442330">
              <w:t>No separate state QTIP election permitted.</w:t>
            </w:r>
          </w:p>
        </w:tc>
        <w:tc>
          <w:tcPr>
            <w:tcW w:w="1739" w:type="dxa"/>
            <w:shd w:val="clear" w:color="auto" w:fill="auto"/>
          </w:tcPr>
          <w:p w:rsidR="00F21374" w:rsidRPr="00442330" w:rsidRDefault="00F21374" w:rsidP="0054759D">
            <w:pPr>
              <w:rPr>
                <w:highlight w:val="yellow"/>
              </w:rPr>
            </w:pPr>
          </w:p>
        </w:tc>
        <w:tc>
          <w:tcPr>
            <w:tcW w:w="1421" w:type="dxa"/>
            <w:shd w:val="clear" w:color="auto" w:fill="auto"/>
          </w:tcPr>
          <w:p w:rsidR="00F21374" w:rsidRPr="00442330" w:rsidRDefault="00F21374" w:rsidP="0054759D">
            <w:r w:rsidRPr="00442330">
              <w:t>$2,750,000</w:t>
            </w:r>
          </w:p>
        </w:tc>
      </w:tr>
      <w:tr w:rsidR="00F21374" w:rsidRPr="00442330" w:rsidTr="0054759D">
        <w:tc>
          <w:tcPr>
            <w:tcW w:w="1606" w:type="dxa"/>
            <w:shd w:val="clear" w:color="auto" w:fill="auto"/>
          </w:tcPr>
          <w:p w:rsidR="00F21374" w:rsidRPr="00442330" w:rsidRDefault="00F21374" w:rsidP="0054759D">
            <w:r w:rsidRPr="00442330">
              <w:t>Virginia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845744" w:rsidRDefault="00F21374" w:rsidP="0054759D">
            <w:r w:rsidRPr="00845744">
              <w:t>Tax is tied to federal state death tax credit.</w:t>
            </w:r>
          </w:p>
          <w:p w:rsidR="00F21374" w:rsidRPr="00845744" w:rsidRDefault="00F21374" w:rsidP="0054759D">
            <w:r w:rsidRPr="00845744">
              <w:t>VA ST §§ 58.1-901; 58.1-902.</w:t>
            </w:r>
          </w:p>
          <w:p w:rsidR="00F21374" w:rsidRPr="00845744" w:rsidRDefault="00F21374" w:rsidP="0054759D"/>
          <w:p w:rsidR="00F21374" w:rsidRPr="00845744" w:rsidRDefault="00C05B2A" w:rsidP="0054759D">
            <w:r w:rsidRPr="00845744">
              <w:t>The Virginia tax was</w:t>
            </w:r>
            <w:r w:rsidR="00F21374" w:rsidRPr="00845744">
              <w:t xml:space="preserve"> repealed effective July 1, 2007.  Previously, the tax was frozen at federal state death tax credit in effect on January 1, 1978.  Tax was imposed only on estates exceeding EGTRRA federal applicable exclusion amount. VA ST §§ 58.1-901; 58.1-902.</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Washington</w:t>
            </w:r>
          </w:p>
        </w:tc>
        <w:tc>
          <w:tcPr>
            <w:tcW w:w="1340" w:type="dxa"/>
            <w:shd w:val="clear" w:color="auto" w:fill="auto"/>
          </w:tcPr>
          <w:p w:rsidR="00F21374" w:rsidRPr="00442330" w:rsidRDefault="00F21374" w:rsidP="0054759D">
            <w:r w:rsidRPr="00442330">
              <w:t>Separate Estate Tax</w:t>
            </w:r>
          </w:p>
        </w:tc>
        <w:tc>
          <w:tcPr>
            <w:tcW w:w="2750" w:type="dxa"/>
            <w:shd w:val="clear" w:color="auto" w:fill="auto"/>
          </w:tcPr>
          <w:p w:rsidR="00F21374" w:rsidRPr="00442330" w:rsidRDefault="00F21374" w:rsidP="0054759D">
            <w:pPr>
              <w:rPr>
                <w:u w:val="single"/>
              </w:rPr>
            </w:pPr>
            <w:r w:rsidRPr="00442330">
              <w:t xml:space="preserve">On </w:t>
            </w:r>
            <w:smartTag w:uri="urn:schemas-microsoft-com:office:smarttags" w:element="date">
              <w:smartTagPr>
                <w:attr w:name="ls" w:val="trans"/>
                <w:attr w:name="Month" w:val="2"/>
                <w:attr w:name="Day" w:val="3"/>
                <w:attr w:name="Year" w:val="2005"/>
              </w:smartTagPr>
              <w:r w:rsidRPr="00442330">
                <w:t>February 3, 2005</w:t>
              </w:r>
            </w:smartTag>
            <w:r w:rsidRPr="00442330">
              <w:t xml:space="preserve">, the Washington State Supreme Court unanimously held that </w:t>
            </w:r>
            <w:smartTag w:uri="urn:schemas-microsoft-com:office:smarttags" w:element="State">
              <w:smartTag w:uri="urn:schemas-microsoft-com:office:smarttags" w:element="place">
                <w:r w:rsidRPr="00442330">
                  <w:t>Washington</w:t>
                </w:r>
              </w:smartTag>
            </w:smartTag>
            <w:r w:rsidRPr="00442330">
              <w:t xml:space="preserve">’s state death tax was unconstitutional. The tax was tied to the current federal state death tax credit, thus reducing the tax for the years 2002 - 2004 and eliminating it for the years 2005 - 2010. </w:t>
            </w:r>
            <w:r w:rsidRPr="00442330">
              <w:rPr>
                <w:u w:val="single"/>
              </w:rPr>
              <w:t xml:space="preserve">Hemphill v. State Department of </w:t>
            </w:r>
            <w:smartTag w:uri="schemas-workshare-com/workshare" w:element="PolicySmartTags.CWSPolicyTagAction_4">
              <w:smartTagPr>
                <w:attr w:name="TagType" w:val="3"/>
              </w:smartTagPr>
              <w:smartTag w:uri="schemas-workshare-com/workshare" w:element="financialdisclosure">
                <w:smartTagPr>
                  <w:attr w:name="TagType" w:val="3"/>
                </w:smartTagPr>
                <w:r w:rsidRPr="00442330">
                  <w:rPr>
                    <w:u w:val="single"/>
                  </w:rPr>
                  <w:t>Revenue</w:t>
                </w:r>
                <w:r w:rsidRPr="00442330">
                  <w:t xml:space="preserve"> 2005</w:t>
                </w:r>
              </w:smartTag>
            </w:smartTag>
            <w:r w:rsidRPr="00442330">
              <w:t xml:space="preserve"> WL 240940</w:t>
            </w:r>
            <w:r w:rsidRPr="00442330">
              <w:rPr>
                <w:u w:val="single"/>
              </w:rPr>
              <w:t xml:space="preserve"> (</w:t>
            </w:r>
            <w:smartTag w:uri="urn:schemas-microsoft-com:office:smarttags" w:element="State">
              <w:smartTag w:uri="urn:schemas-microsoft-com:office:smarttags" w:element="place">
                <w:r w:rsidRPr="00442330">
                  <w:rPr>
                    <w:u w:val="single"/>
                  </w:rPr>
                  <w:t>Wash.</w:t>
                </w:r>
              </w:smartTag>
            </w:smartTag>
            <w:r w:rsidRPr="00442330">
              <w:rPr>
                <w:u w:val="single"/>
              </w:rPr>
              <w:t xml:space="preserve"> 2005).</w:t>
            </w:r>
          </w:p>
          <w:p w:rsidR="00F21374" w:rsidRPr="00442330" w:rsidRDefault="00F21374" w:rsidP="0054759D"/>
          <w:p w:rsidR="00F21374" w:rsidRPr="00442330" w:rsidRDefault="00F21374" w:rsidP="0054759D">
            <w:r w:rsidRPr="00442330">
              <w:t>In response to</w:t>
            </w:r>
            <w:r w:rsidRPr="00442330">
              <w:rPr>
                <w:u w:val="single"/>
              </w:rPr>
              <w:t xml:space="preserve"> Hemphill</w:t>
            </w:r>
            <w:r w:rsidRPr="00442330">
              <w:t xml:space="preserve">, the Washington State Senate on April 19 and the Washington House on April 22, 2005, by narrow majorities, passed a stand-alone state estate tax with rates ranging from 10% to 19%, a $1.5 million exemption in 2005 and $2 million thereafter, and a deduction for farms for which a Sec. 2032A election could have been taken (regardless of whether the election is made). The Governor signed the legislation.  </w:t>
            </w:r>
          </w:p>
          <w:p w:rsidR="00F21374" w:rsidRPr="00442330" w:rsidRDefault="00F21374" w:rsidP="0054759D">
            <w:smartTag w:uri="urn:schemas-microsoft-com:office:smarttags" w:element="Street">
              <w:smartTag w:uri="urn:schemas-microsoft-com:office:smarttags" w:element="address">
                <w:r w:rsidRPr="00442330">
                  <w:t>WA ST</w:t>
                </w:r>
              </w:smartTag>
            </w:smartTag>
            <w:r w:rsidRPr="00442330">
              <w:t xml:space="preserve"> §§ 83.100.040; 83.100.020.</w:t>
            </w:r>
          </w:p>
          <w:p w:rsidR="00F21374" w:rsidRPr="00442330" w:rsidRDefault="00F21374" w:rsidP="0054759D"/>
          <w:p w:rsidR="00F21374" w:rsidRPr="00442330" w:rsidRDefault="00F21374" w:rsidP="0054759D">
            <w:smartTag w:uri="urn:schemas-microsoft-com:office:smarttags" w:element="State">
              <w:smartTag w:uri="urn:schemas-microsoft-com:office:smarttags" w:element="place">
                <w:r w:rsidRPr="00442330">
                  <w:t>Washington</w:t>
                </w:r>
              </w:smartTag>
            </w:smartTag>
            <w:r w:rsidRPr="00442330">
              <w:t xml:space="preserve"> voters defeated a referendum to repeal the </w:t>
            </w:r>
            <w:smartTag w:uri="urn:schemas-microsoft-com:office:smarttags" w:element="State">
              <w:smartTag w:uri="urn:schemas-microsoft-com:office:smarttags" w:element="place">
                <w:r w:rsidRPr="00442330">
                  <w:t>Washington</w:t>
                </w:r>
              </w:smartTag>
            </w:smartTag>
            <w:r w:rsidRPr="00442330">
              <w:t xml:space="preserve"> estate tax in the November 2006 elections.</w:t>
            </w:r>
          </w:p>
          <w:p w:rsidR="00F21374" w:rsidRPr="00442330" w:rsidRDefault="00F21374" w:rsidP="0054759D"/>
          <w:p w:rsidR="00F21374" w:rsidRPr="00442330" w:rsidRDefault="00F21374" w:rsidP="0054759D">
            <w:r w:rsidRPr="00442330">
              <w:t>Washington permits a separate state QTIP election.  WA ST §83.100.047.</w:t>
            </w:r>
          </w:p>
        </w:tc>
        <w:tc>
          <w:tcPr>
            <w:tcW w:w="1739" w:type="dxa"/>
            <w:shd w:val="clear" w:color="auto" w:fill="auto"/>
          </w:tcPr>
          <w:p w:rsidR="00F21374" w:rsidRPr="00442330" w:rsidRDefault="00F21374" w:rsidP="0054759D">
            <w:r w:rsidRPr="00442330">
              <w:t>On June 14, 2013, Governor Inslee signed HB 2075  which closed an exemption for marital trusts retroactively immediately prior to when the Department of Revenue was about to start issuing refund checks, created a deduction for up to $2.5 million for certain family owned businesses and indexes the $2 million Washington state death tax threshold for inflation.</w:t>
            </w:r>
          </w:p>
        </w:tc>
        <w:tc>
          <w:tcPr>
            <w:tcW w:w="1421" w:type="dxa"/>
            <w:shd w:val="clear" w:color="auto" w:fill="auto"/>
          </w:tcPr>
          <w:p w:rsidR="00F21374" w:rsidRPr="00442330" w:rsidRDefault="00B822AF" w:rsidP="0054759D">
            <w:r w:rsidRPr="00845744">
              <w:t>$2,129</w:t>
            </w:r>
            <w:r w:rsidR="00F21374" w:rsidRPr="00845744">
              <w:t>,000</w:t>
            </w:r>
            <w:r w:rsidR="00F21374" w:rsidRPr="00442330">
              <w:t xml:space="preserve"> </w:t>
            </w:r>
          </w:p>
        </w:tc>
      </w:tr>
      <w:tr w:rsidR="00F21374" w:rsidRPr="00442330" w:rsidTr="0054759D">
        <w:tc>
          <w:tcPr>
            <w:tcW w:w="1606" w:type="dxa"/>
            <w:shd w:val="clear" w:color="auto" w:fill="auto"/>
          </w:tcPr>
          <w:p w:rsidR="00F21374" w:rsidRPr="00442330" w:rsidRDefault="00F21374" w:rsidP="0054759D">
            <w:r w:rsidRPr="00442330">
              <w:t>West Virginia</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WV § 11-11-3.</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Wisconsin</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 WI ST § 72.01(11m).</w:t>
            </w:r>
          </w:p>
          <w:p w:rsidR="00F21374" w:rsidRPr="00442330" w:rsidRDefault="00F21374" w:rsidP="0054759D"/>
          <w:p w:rsidR="00F21374" w:rsidRPr="00442330" w:rsidRDefault="00F21374" w:rsidP="0054759D">
            <w:r w:rsidRPr="00442330">
              <w:t xml:space="preserve">For deaths occurring after </w:t>
            </w:r>
            <w:smartTag w:uri="urn:schemas-microsoft-com:office:smarttags" w:element="date">
              <w:smartTagPr>
                <w:attr w:name="ls" w:val="trans"/>
                <w:attr w:name="Month" w:val="9"/>
                <w:attr w:name="Day" w:val="30"/>
                <w:attr w:name="Year" w:val="2002"/>
              </w:smartTagPr>
              <w:r w:rsidRPr="00442330">
                <w:t>September 30, 2002</w:t>
              </w:r>
            </w:smartTag>
            <w:r w:rsidRPr="00442330">
              <w:t xml:space="preserve">, and before </w:t>
            </w:r>
            <w:smartTag w:uri="urn:schemas-microsoft-com:office:smarttags" w:element="date">
              <w:smartTagPr>
                <w:attr w:name="ls" w:val="trans"/>
                <w:attr w:name="Month" w:val="1"/>
                <w:attr w:name="Day" w:val="1"/>
                <w:attr w:name="Year" w:val="2008"/>
              </w:smartTagPr>
              <w:r w:rsidRPr="00442330">
                <w:t>January 1, 2008</w:t>
              </w:r>
            </w:smartTag>
            <w:r w:rsidRPr="00442330">
              <w:t xml:space="preserve">, tax was frozen at federal state death tax credit in effect on </w:t>
            </w:r>
            <w:smartTag w:uri="urn:schemas-microsoft-com:office:smarttags" w:element="date">
              <w:smartTagPr>
                <w:attr w:name="ls" w:val="trans"/>
                <w:attr w:name="Month" w:val="12"/>
                <w:attr w:name="Day" w:val="31"/>
                <w:attr w:name="Year" w:val="2000"/>
              </w:smartTagPr>
              <w:r w:rsidRPr="00442330">
                <w:t>December 31, 2000</w:t>
              </w:r>
            </w:smartTag>
            <w:r w:rsidRPr="00442330">
              <w:t xml:space="preserve"> and was imposed on estates exceeding federal applicable exclusion amount in effect on </w:t>
            </w:r>
            <w:smartTag w:uri="urn:schemas-microsoft-com:office:smarttags" w:element="date">
              <w:smartTagPr>
                <w:attr w:name="ls" w:val="trans"/>
                <w:attr w:name="Month" w:val="12"/>
                <w:attr w:name="Day" w:val="31"/>
                <w:attr w:name="Year" w:val="2000"/>
              </w:smartTagPr>
              <w:r w:rsidRPr="00442330">
                <w:t>December 31, 2000</w:t>
              </w:r>
            </w:smartTag>
            <w:r w:rsidRPr="00442330">
              <w:t xml:space="preserve"> ($675,000), not including scheduled increases under pre-EGTRRA law, even though that amount is below the lowest EGTRRA applicable exclusion amount. Thereafter, tax imposed only on estates exceeding EGTRRA federal applicable exclusion amount.</w:t>
            </w:r>
          </w:p>
          <w:p w:rsidR="00F21374" w:rsidRPr="00442330" w:rsidRDefault="00F21374" w:rsidP="0054759D">
            <w:smartTag w:uri="urn:schemas-microsoft-com:office:smarttags" w:element="Street">
              <w:smartTag w:uri="urn:schemas-microsoft-com:office:smarttags" w:element="address">
                <w:r w:rsidRPr="00442330">
                  <w:t>WI ST</w:t>
                </w:r>
              </w:smartTag>
            </w:smartTag>
            <w:r w:rsidRPr="00442330">
              <w:t xml:space="preserve"> §§ 72.01; 72.02, amended in 2001; WI Dept. of Revenue website.</w:t>
            </w:r>
          </w:p>
          <w:p w:rsidR="00F21374" w:rsidRPr="00442330" w:rsidRDefault="00F21374" w:rsidP="0054759D"/>
          <w:p w:rsidR="00F21374" w:rsidRPr="00442330" w:rsidRDefault="00F21374" w:rsidP="0054759D">
            <w:r w:rsidRPr="00442330">
              <w:t xml:space="preserve">On </w:t>
            </w:r>
            <w:smartTag w:uri="urn:schemas-microsoft-com:office:smarttags" w:element="date">
              <w:smartTagPr>
                <w:attr w:name="ls" w:val="trans"/>
                <w:attr w:name="Month" w:val="4"/>
                <w:attr w:name="Day" w:val="15"/>
                <w:attr w:name="Year" w:val="2004"/>
              </w:smartTagPr>
              <w:r w:rsidRPr="00442330">
                <w:t>April 15, 2004</w:t>
              </w:r>
            </w:smartTag>
            <w:r w:rsidRPr="00442330">
              <w:t>, the Wisconsin governor signed 2003 Wis. Act 258, which provided that Wisconsin will not impose an estate tax with respect to the intangible personal property of a non-resident decedent that has a taxable situs in Wisconsin even if the non-resident’s state of domicile does not impose a death tax. Previously, Wisconsin would impose an estate tax with respect to the intangible personal property of a non-resident decedent that had a taxable situs in Wisconsin if the state of domicile of the non-resident had no state death tax.</w:t>
            </w:r>
          </w:p>
        </w:tc>
        <w:tc>
          <w:tcPr>
            <w:tcW w:w="1739" w:type="dxa"/>
            <w:shd w:val="clear" w:color="auto" w:fill="auto"/>
          </w:tcPr>
          <w:p w:rsidR="00F21374" w:rsidRPr="00442330" w:rsidRDefault="00F21374" w:rsidP="0054759D"/>
          <w:p w:rsidR="00F21374" w:rsidRPr="00442330" w:rsidRDefault="00F21374" w:rsidP="0054759D"/>
        </w:tc>
        <w:tc>
          <w:tcPr>
            <w:tcW w:w="1421" w:type="dxa"/>
            <w:shd w:val="clear" w:color="auto" w:fill="auto"/>
          </w:tcPr>
          <w:p w:rsidR="00F21374" w:rsidRPr="00442330" w:rsidRDefault="00F21374" w:rsidP="0054759D"/>
        </w:tc>
      </w:tr>
      <w:tr w:rsidR="00F21374" w:rsidRPr="00442330" w:rsidTr="0054759D">
        <w:tc>
          <w:tcPr>
            <w:tcW w:w="1606" w:type="dxa"/>
            <w:shd w:val="clear" w:color="auto" w:fill="auto"/>
          </w:tcPr>
          <w:p w:rsidR="00F21374" w:rsidRPr="00442330" w:rsidRDefault="00F21374" w:rsidP="0054759D">
            <w:r w:rsidRPr="00442330">
              <w:t>Wyoming</w:t>
            </w:r>
          </w:p>
        </w:tc>
        <w:tc>
          <w:tcPr>
            <w:tcW w:w="1340" w:type="dxa"/>
            <w:shd w:val="clear" w:color="auto" w:fill="auto"/>
          </w:tcPr>
          <w:p w:rsidR="00F21374" w:rsidRPr="00442330" w:rsidRDefault="00F21374" w:rsidP="0054759D">
            <w:r w:rsidRPr="00442330">
              <w:t>None</w:t>
            </w:r>
          </w:p>
        </w:tc>
        <w:tc>
          <w:tcPr>
            <w:tcW w:w="2750" w:type="dxa"/>
            <w:shd w:val="clear" w:color="auto" w:fill="auto"/>
          </w:tcPr>
          <w:p w:rsidR="00F21374" w:rsidRPr="00442330" w:rsidRDefault="00F21374" w:rsidP="0054759D">
            <w:r w:rsidRPr="00442330">
              <w:t>Tax is tied to federal state death tax credit.</w:t>
            </w:r>
          </w:p>
          <w:p w:rsidR="00F21374" w:rsidRPr="00442330" w:rsidRDefault="00F21374" w:rsidP="0054759D">
            <w:r w:rsidRPr="00442330">
              <w:t>WY ST §§ 39-19-103; 39-19-104.</w:t>
            </w:r>
          </w:p>
        </w:tc>
        <w:tc>
          <w:tcPr>
            <w:tcW w:w="1739" w:type="dxa"/>
            <w:shd w:val="clear" w:color="auto" w:fill="auto"/>
          </w:tcPr>
          <w:p w:rsidR="00F21374" w:rsidRPr="00442330" w:rsidRDefault="00F21374" w:rsidP="0054759D"/>
        </w:tc>
        <w:tc>
          <w:tcPr>
            <w:tcW w:w="1421" w:type="dxa"/>
            <w:shd w:val="clear" w:color="auto" w:fill="auto"/>
          </w:tcPr>
          <w:p w:rsidR="00F21374" w:rsidRPr="00442330" w:rsidRDefault="00F21374" w:rsidP="0054759D"/>
        </w:tc>
      </w:tr>
    </w:tbl>
    <w:p w:rsidR="00A017A9" w:rsidRDefault="00A017A9" w:rsidP="00A017A9"/>
    <w:p w:rsidR="00B86A67" w:rsidRDefault="00B86A67" w:rsidP="00A017A9"/>
    <w:p w:rsidR="00B86A67" w:rsidRDefault="00B86A67" w:rsidP="00B86A67">
      <w:pPr>
        <w:pStyle w:val="FilenameText"/>
      </w:pPr>
      <w:r>
        <w:t>85977188_1.docx</w:t>
      </w:r>
    </w:p>
    <w:p w:rsidR="00B86A67" w:rsidRPr="00B86A67" w:rsidRDefault="00B86A67" w:rsidP="00B86A67"/>
    <w:sectPr w:rsidR="00B86A67" w:rsidRPr="00B86A67" w:rsidSect="0035012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9D" w:rsidRDefault="0054759D" w:rsidP="00F21374">
      <w:r>
        <w:separator/>
      </w:r>
    </w:p>
  </w:endnote>
  <w:endnote w:type="continuationSeparator" w:id="0">
    <w:p w:rsidR="0054759D" w:rsidRDefault="0054759D" w:rsidP="00F2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69" w:rsidRDefault="00D13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826296"/>
      <w:docPartObj>
        <w:docPartGallery w:val="Page Numbers (Bottom of Page)"/>
        <w:docPartUnique/>
      </w:docPartObj>
    </w:sdtPr>
    <w:sdtEndPr>
      <w:rPr>
        <w:noProof/>
      </w:rPr>
    </w:sdtEndPr>
    <w:sdtContent>
      <w:p w:rsidR="0054759D" w:rsidRDefault="0054759D">
        <w:pPr>
          <w:pStyle w:val="Footer"/>
          <w:jc w:val="center"/>
        </w:pPr>
        <w:r>
          <w:fldChar w:fldCharType="begin"/>
        </w:r>
        <w:r>
          <w:instrText xml:space="preserve"> PAGE   \* MERGEFORMAT </w:instrText>
        </w:r>
        <w:r>
          <w:fldChar w:fldCharType="separate"/>
        </w:r>
        <w:r w:rsidR="00AD405E">
          <w:rPr>
            <w:noProof/>
          </w:rPr>
          <w:t>2</w:t>
        </w:r>
        <w:r>
          <w:rPr>
            <w:noProof/>
          </w:rPr>
          <w:fldChar w:fldCharType="end"/>
        </w:r>
      </w:p>
    </w:sdtContent>
  </w:sdt>
  <w:p w:rsidR="0054759D" w:rsidRDefault="00547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69" w:rsidRDefault="00D1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9D" w:rsidRDefault="0054759D" w:rsidP="00F21374">
      <w:r>
        <w:separator/>
      </w:r>
    </w:p>
  </w:footnote>
  <w:footnote w:type="continuationSeparator" w:id="0">
    <w:p w:rsidR="0054759D" w:rsidRDefault="0054759D" w:rsidP="00F2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69" w:rsidRDefault="00D13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69" w:rsidRDefault="00D13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9D" w:rsidRDefault="00D13769" w:rsidP="00350127">
    <w:pPr>
      <w:pStyle w:val="Header"/>
      <w:jc w:val="center"/>
      <w:rPr>
        <w:b/>
      </w:rPr>
    </w:pPr>
    <w:r>
      <w:rPr>
        <w:b/>
      </w:rPr>
      <w:t xml:space="preserve">Policy and Taxation Group </w:t>
    </w:r>
    <w:r w:rsidR="0054759D">
      <w:rPr>
        <w:b/>
      </w:rPr>
      <w:t>State Death Tax Chart</w:t>
    </w:r>
  </w:p>
  <w:p w:rsidR="0054759D" w:rsidRDefault="0054759D" w:rsidP="00350127">
    <w:pPr>
      <w:pStyle w:val="Header"/>
      <w:jc w:val="center"/>
      <w:rPr>
        <w:b/>
      </w:rPr>
    </w:pPr>
  </w:p>
  <w:p w:rsidR="0054759D" w:rsidRDefault="0054759D" w:rsidP="00925B25">
    <w:pPr>
      <w:pStyle w:val="Header"/>
      <w:tabs>
        <w:tab w:val="left" w:pos="2880"/>
        <w:tab w:val="center" w:pos="4320"/>
      </w:tabs>
      <w:rPr>
        <w:b/>
      </w:rPr>
    </w:pPr>
    <w:r w:rsidRPr="00925B25">
      <w:rPr>
        <w:b/>
      </w:rPr>
      <w:t xml:space="preserve"> </w:t>
    </w:r>
    <w:r w:rsidRPr="00925B25">
      <w:rPr>
        <w:b/>
      </w:rPr>
      <w:tab/>
    </w:r>
    <w:r w:rsidR="00F64377">
      <w:rPr>
        <w:b/>
      </w:rPr>
      <w:t>Revised January 9, 2017</w:t>
    </w:r>
  </w:p>
  <w:p w:rsidR="0054759D" w:rsidRDefault="001671C0" w:rsidP="007C3A5B">
    <w:pPr>
      <w:pStyle w:val="Header"/>
      <w:tabs>
        <w:tab w:val="clear" w:pos="9360"/>
        <w:tab w:val="left" w:pos="5040"/>
        <w:tab w:val="left" w:pos="5760"/>
        <w:tab w:val="right" w:pos="8640"/>
      </w:tabs>
      <w:rPr>
        <w:b/>
      </w:rPr>
    </w:pPr>
    <w:r>
      <w:rPr>
        <w:b/>
      </w:rPr>
      <w:tab/>
    </w:r>
    <w:r>
      <w:rPr>
        <w:b/>
      </w:rPr>
      <w:tab/>
    </w:r>
    <w:r>
      <w:rPr>
        <w:b/>
      </w:rPr>
      <w:tab/>
    </w:r>
    <w:r w:rsidR="007C3A5B">
      <w:rPr>
        <w:b/>
      </w:rPr>
      <w:tab/>
    </w:r>
  </w:p>
  <w:p w:rsidR="0054759D" w:rsidRDefault="0054759D" w:rsidP="00350127">
    <w:pPr>
      <w:pStyle w:val="Header"/>
      <w:jc w:val="center"/>
      <w:rPr>
        <w:b/>
      </w:rPr>
    </w:pPr>
  </w:p>
  <w:p w:rsidR="0054759D" w:rsidRPr="00CF6932" w:rsidRDefault="0054759D" w:rsidP="00350127">
    <w:pPr>
      <w:jc w:val="both"/>
    </w:pPr>
    <w:r>
      <w:t>This c</w:t>
    </w:r>
    <w:r w:rsidR="00DD74C9">
      <w:t>hart is mai</w:t>
    </w:r>
    <w:r w:rsidR="00D13769">
      <w:t>ntained for the Policy and Taxation Group</w:t>
    </w:r>
    <w:r>
      <w:t xml:space="preserve"> Website and is updated regularly. </w:t>
    </w:r>
    <w:r w:rsidRPr="00CF6932">
      <w:t xml:space="preserve">Any comments on the chart or new developments that should be reflected on the chart may be sent to </w:t>
    </w:r>
    <w:hyperlink r:id="rId1" w:history="1">
      <w:r w:rsidRPr="00CF6932">
        <w:rPr>
          <w:rStyle w:val="Hyperlink"/>
        </w:rPr>
        <w:t>cfox@mcguirewoods.com</w:t>
      </w:r>
    </w:hyperlink>
    <w:r>
      <w:t>.</w:t>
    </w:r>
  </w:p>
  <w:p w:rsidR="0054759D" w:rsidRPr="00350127" w:rsidRDefault="0054759D" w:rsidP="00350127">
    <w:pPr>
      <w:pStyle w:val="Header"/>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6B20"/>
    <w:multiLevelType w:val="singleLevel"/>
    <w:tmpl w:val="71A06332"/>
    <w:lvl w:ilvl="0">
      <w:start w:val="1"/>
      <w:numFmt w:val="decimal"/>
      <w:lvlText w:val="%1."/>
      <w:lvlJc w:val="left"/>
      <w:pPr>
        <w:tabs>
          <w:tab w:val="num" w:pos="1800"/>
        </w:tabs>
        <w:ind w:left="0" w:firstLine="1440"/>
      </w:pPr>
    </w:lvl>
  </w:abstractNum>
  <w:abstractNum w:abstractNumId="11" w15:restartNumberingAfterBreak="0">
    <w:nsid w:val="05B22B2E"/>
    <w:multiLevelType w:val="singleLevel"/>
    <w:tmpl w:val="BE30C41C"/>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A840CED"/>
    <w:multiLevelType w:val="singleLevel"/>
    <w:tmpl w:val="88FEDF30"/>
    <w:lvl w:ilvl="0">
      <w:start w:val="1"/>
      <w:numFmt w:val="decimal"/>
      <w:lvlText w:val="%1."/>
      <w:lvlJc w:val="left"/>
      <w:pPr>
        <w:tabs>
          <w:tab w:val="num" w:pos="1800"/>
        </w:tabs>
        <w:ind w:left="0" w:firstLine="1440"/>
      </w:pPr>
    </w:lvl>
  </w:abstractNum>
  <w:abstractNum w:abstractNumId="13" w15:restartNumberingAfterBreak="0">
    <w:nsid w:val="1293348A"/>
    <w:multiLevelType w:val="singleLevel"/>
    <w:tmpl w:val="BD50243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5D18E3"/>
    <w:multiLevelType w:val="singleLevel"/>
    <w:tmpl w:val="DB54CA60"/>
    <w:lvl w:ilvl="0">
      <w:start w:val="1"/>
      <w:numFmt w:val="decimal"/>
      <w:lvlText w:val="%1."/>
      <w:lvlJc w:val="left"/>
      <w:pPr>
        <w:tabs>
          <w:tab w:val="num" w:pos="1800"/>
        </w:tabs>
        <w:ind w:left="0" w:firstLine="1440"/>
      </w:pPr>
    </w:lvl>
  </w:abstractNum>
  <w:abstractNum w:abstractNumId="15" w15:restartNumberingAfterBreak="0">
    <w:nsid w:val="244776AE"/>
    <w:multiLevelType w:val="singleLevel"/>
    <w:tmpl w:val="5B4A7CD0"/>
    <w:lvl w:ilvl="0">
      <w:start w:val="1"/>
      <w:numFmt w:val="decimal"/>
      <w:lvlText w:val="%1."/>
      <w:lvlJc w:val="left"/>
      <w:pPr>
        <w:tabs>
          <w:tab w:val="num" w:pos="1080"/>
        </w:tabs>
        <w:ind w:left="0" w:firstLine="720"/>
      </w:pPr>
    </w:lvl>
  </w:abstractNum>
  <w:abstractNum w:abstractNumId="16" w15:restartNumberingAfterBreak="0">
    <w:nsid w:val="2F546029"/>
    <w:multiLevelType w:val="singleLevel"/>
    <w:tmpl w:val="BA5E1800"/>
    <w:lvl w:ilvl="0">
      <w:start w:val="1"/>
      <w:numFmt w:val="decimal"/>
      <w:lvlText w:val="%1."/>
      <w:lvlJc w:val="left"/>
      <w:pPr>
        <w:tabs>
          <w:tab w:val="num" w:pos="1080"/>
        </w:tabs>
        <w:ind w:left="0" w:firstLine="720"/>
      </w:pPr>
    </w:lvl>
  </w:abstractNum>
  <w:abstractNum w:abstractNumId="17" w15:restartNumberingAfterBreak="0">
    <w:nsid w:val="405E07A6"/>
    <w:multiLevelType w:val="singleLevel"/>
    <w:tmpl w:val="CAC2EA4C"/>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31481E"/>
    <w:multiLevelType w:val="singleLevel"/>
    <w:tmpl w:val="0B10B302"/>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36546B4"/>
    <w:multiLevelType w:val="hybridMultilevel"/>
    <w:tmpl w:val="981C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F7796"/>
    <w:multiLevelType w:val="singleLevel"/>
    <w:tmpl w:val="FE9A055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3E55094"/>
    <w:multiLevelType w:val="singleLevel"/>
    <w:tmpl w:val="15B8A26E"/>
    <w:lvl w:ilvl="0">
      <w:start w:val="1"/>
      <w:numFmt w:val="decimal"/>
      <w:lvlText w:val="%1."/>
      <w:lvlJc w:val="left"/>
      <w:pPr>
        <w:tabs>
          <w:tab w:val="num" w:pos="1080"/>
        </w:tabs>
        <w:ind w:left="0" w:firstLine="720"/>
      </w:pPr>
    </w:lvl>
  </w:abstractNum>
  <w:abstractNum w:abstractNumId="22" w15:restartNumberingAfterBreak="0">
    <w:nsid w:val="6E2E2D4B"/>
    <w:multiLevelType w:val="singleLevel"/>
    <w:tmpl w:val="6492C22C"/>
    <w:lvl w:ilvl="0">
      <w:start w:val="1"/>
      <w:numFmt w:val="decimal"/>
      <w:lvlText w:val="%1."/>
      <w:lvlJc w:val="left"/>
      <w:pPr>
        <w:tabs>
          <w:tab w:val="num" w:pos="1080"/>
        </w:tabs>
        <w:ind w:left="0" w:firstLine="720"/>
      </w:pPr>
    </w:lvl>
  </w:abstractNum>
  <w:abstractNum w:abstractNumId="23" w15:restartNumberingAfterBreak="0">
    <w:nsid w:val="6E481F17"/>
    <w:multiLevelType w:val="singleLevel"/>
    <w:tmpl w:val="386E498E"/>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1A194B"/>
    <w:multiLevelType w:val="singleLevel"/>
    <w:tmpl w:val="D774FFBE"/>
    <w:lvl w:ilvl="0">
      <w:start w:val="1"/>
      <w:numFmt w:val="decimal"/>
      <w:lvlText w:val="%1."/>
      <w:lvlJc w:val="left"/>
      <w:pPr>
        <w:tabs>
          <w:tab w:val="num" w:pos="1800"/>
        </w:tabs>
        <w:ind w:left="0" w:firstLine="1440"/>
      </w:pPr>
    </w:lvl>
  </w:abstractNum>
  <w:num w:numId="1">
    <w:abstractNumId w:val="16"/>
  </w:num>
  <w:num w:numId="2">
    <w:abstractNumId w:val="20"/>
  </w:num>
  <w:num w:numId="3">
    <w:abstractNumId w:val="13"/>
  </w:num>
  <w:num w:numId="4">
    <w:abstractNumId w:val="18"/>
  </w:num>
  <w:num w:numId="5">
    <w:abstractNumId w:val="17"/>
  </w:num>
  <w:num w:numId="6">
    <w:abstractNumId w:val="11"/>
  </w:num>
  <w:num w:numId="7">
    <w:abstractNumId w:val="15"/>
  </w:num>
  <w:num w:numId="8">
    <w:abstractNumId w:val="21"/>
  </w:num>
  <w:num w:numId="9">
    <w:abstractNumId w:val="22"/>
  </w:num>
  <w:num w:numId="10">
    <w:abstractNumId w:val="24"/>
  </w:num>
  <w:num w:numId="11">
    <w:abstractNumId w:val="12"/>
  </w:num>
  <w:num w:numId="12">
    <w:abstractNumId w:val="10"/>
  </w:num>
  <w:num w:numId="13">
    <w:abstractNumId w:val="14"/>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74"/>
    <w:rsid w:val="000002E9"/>
    <w:rsid w:val="000052D8"/>
    <w:rsid w:val="00014996"/>
    <w:rsid w:val="00017F21"/>
    <w:rsid w:val="00020B5D"/>
    <w:rsid w:val="00023AE7"/>
    <w:rsid w:val="00027543"/>
    <w:rsid w:val="00027953"/>
    <w:rsid w:val="00033148"/>
    <w:rsid w:val="0003650D"/>
    <w:rsid w:val="000408C7"/>
    <w:rsid w:val="00041E42"/>
    <w:rsid w:val="0005066E"/>
    <w:rsid w:val="000515E9"/>
    <w:rsid w:val="000524F3"/>
    <w:rsid w:val="00052627"/>
    <w:rsid w:val="000653CB"/>
    <w:rsid w:val="00067E8C"/>
    <w:rsid w:val="00081416"/>
    <w:rsid w:val="0008615F"/>
    <w:rsid w:val="00090BCA"/>
    <w:rsid w:val="000C5176"/>
    <w:rsid w:val="000D22B0"/>
    <w:rsid w:val="000D2EB7"/>
    <w:rsid w:val="000D576A"/>
    <w:rsid w:val="000D640E"/>
    <w:rsid w:val="000E26C0"/>
    <w:rsid w:val="000E7252"/>
    <w:rsid w:val="000F76CF"/>
    <w:rsid w:val="00100337"/>
    <w:rsid w:val="00103EF6"/>
    <w:rsid w:val="00104783"/>
    <w:rsid w:val="00120ED1"/>
    <w:rsid w:val="00122687"/>
    <w:rsid w:val="00131A33"/>
    <w:rsid w:val="001368AA"/>
    <w:rsid w:val="00136E58"/>
    <w:rsid w:val="001431BB"/>
    <w:rsid w:val="00144872"/>
    <w:rsid w:val="00153FF5"/>
    <w:rsid w:val="00154B19"/>
    <w:rsid w:val="00155DCA"/>
    <w:rsid w:val="00164626"/>
    <w:rsid w:val="001671C0"/>
    <w:rsid w:val="00172087"/>
    <w:rsid w:val="00173C79"/>
    <w:rsid w:val="00182580"/>
    <w:rsid w:val="00183AB9"/>
    <w:rsid w:val="00187CEB"/>
    <w:rsid w:val="00190AA9"/>
    <w:rsid w:val="001974FF"/>
    <w:rsid w:val="001A04EB"/>
    <w:rsid w:val="001A2F38"/>
    <w:rsid w:val="001B0567"/>
    <w:rsid w:val="001B0FA9"/>
    <w:rsid w:val="001B1C02"/>
    <w:rsid w:val="001B2506"/>
    <w:rsid w:val="001B312F"/>
    <w:rsid w:val="001B4197"/>
    <w:rsid w:val="001B5E85"/>
    <w:rsid w:val="001C013F"/>
    <w:rsid w:val="001D115D"/>
    <w:rsid w:val="001D5D02"/>
    <w:rsid w:val="001E6449"/>
    <w:rsid w:val="001E753E"/>
    <w:rsid w:val="001F3F8B"/>
    <w:rsid w:val="001F4FEF"/>
    <w:rsid w:val="00201CBD"/>
    <w:rsid w:val="00215D36"/>
    <w:rsid w:val="0021658A"/>
    <w:rsid w:val="00217C88"/>
    <w:rsid w:val="00223D2F"/>
    <w:rsid w:val="0023545A"/>
    <w:rsid w:val="00235FF2"/>
    <w:rsid w:val="00237B3B"/>
    <w:rsid w:val="0024033E"/>
    <w:rsid w:val="00245C07"/>
    <w:rsid w:val="00251DDF"/>
    <w:rsid w:val="00255C46"/>
    <w:rsid w:val="00256852"/>
    <w:rsid w:val="00260C52"/>
    <w:rsid w:val="00260E8A"/>
    <w:rsid w:val="002617CE"/>
    <w:rsid w:val="00265DC0"/>
    <w:rsid w:val="002706EB"/>
    <w:rsid w:val="00270EEF"/>
    <w:rsid w:val="00275B2E"/>
    <w:rsid w:val="00284296"/>
    <w:rsid w:val="002B2BD4"/>
    <w:rsid w:val="002B4989"/>
    <w:rsid w:val="002C7ECB"/>
    <w:rsid w:val="002D00BA"/>
    <w:rsid w:val="002D105F"/>
    <w:rsid w:val="002D402E"/>
    <w:rsid w:val="002D54D4"/>
    <w:rsid w:val="002D7239"/>
    <w:rsid w:val="002E25D7"/>
    <w:rsid w:val="002F54F8"/>
    <w:rsid w:val="002F7837"/>
    <w:rsid w:val="0031319C"/>
    <w:rsid w:val="0031772F"/>
    <w:rsid w:val="00320B2B"/>
    <w:rsid w:val="0032486E"/>
    <w:rsid w:val="0032555C"/>
    <w:rsid w:val="00334960"/>
    <w:rsid w:val="003377E0"/>
    <w:rsid w:val="0034117E"/>
    <w:rsid w:val="00350127"/>
    <w:rsid w:val="00374BE5"/>
    <w:rsid w:val="00374EC6"/>
    <w:rsid w:val="0038311F"/>
    <w:rsid w:val="00383243"/>
    <w:rsid w:val="003837EC"/>
    <w:rsid w:val="00391D3E"/>
    <w:rsid w:val="00394B69"/>
    <w:rsid w:val="003A74B9"/>
    <w:rsid w:val="003C3686"/>
    <w:rsid w:val="003C78D4"/>
    <w:rsid w:val="003D49C7"/>
    <w:rsid w:val="003D5D5E"/>
    <w:rsid w:val="003D6742"/>
    <w:rsid w:val="003D6BB3"/>
    <w:rsid w:val="003D7DC7"/>
    <w:rsid w:val="003E0AE2"/>
    <w:rsid w:val="003E6457"/>
    <w:rsid w:val="003E6D1A"/>
    <w:rsid w:val="003F2A8D"/>
    <w:rsid w:val="003F5E1C"/>
    <w:rsid w:val="003F6608"/>
    <w:rsid w:val="00401BD6"/>
    <w:rsid w:val="004060E2"/>
    <w:rsid w:val="00415A9A"/>
    <w:rsid w:val="00417094"/>
    <w:rsid w:val="00423BD6"/>
    <w:rsid w:val="0043209E"/>
    <w:rsid w:val="004325FA"/>
    <w:rsid w:val="00432E26"/>
    <w:rsid w:val="004330EE"/>
    <w:rsid w:val="00441A3F"/>
    <w:rsid w:val="0044427A"/>
    <w:rsid w:val="00445A9D"/>
    <w:rsid w:val="00446C82"/>
    <w:rsid w:val="00451CE3"/>
    <w:rsid w:val="00453D26"/>
    <w:rsid w:val="004629B9"/>
    <w:rsid w:val="00462B96"/>
    <w:rsid w:val="004704A9"/>
    <w:rsid w:val="00470780"/>
    <w:rsid w:val="00471989"/>
    <w:rsid w:val="00472F33"/>
    <w:rsid w:val="004767B5"/>
    <w:rsid w:val="00476937"/>
    <w:rsid w:val="00477E60"/>
    <w:rsid w:val="00497924"/>
    <w:rsid w:val="004A245A"/>
    <w:rsid w:val="004A60CC"/>
    <w:rsid w:val="004B7CC3"/>
    <w:rsid w:val="004C756E"/>
    <w:rsid w:val="004D02A2"/>
    <w:rsid w:val="004D78F1"/>
    <w:rsid w:val="004E398D"/>
    <w:rsid w:val="004E6584"/>
    <w:rsid w:val="004E7F53"/>
    <w:rsid w:val="004F0A96"/>
    <w:rsid w:val="004F10B9"/>
    <w:rsid w:val="004F2A15"/>
    <w:rsid w:val="004F7221"/>
    <w:rsid w:val="005046EB"/>
    <w:rsid w:val="005112C1"/>
    <w:rsid w:val="0051305F"/>
    <w:rsid w:val="00513B53"/>
    <w:rsid w:val="005213F3"/>
    <w:rsid w:val="00521E35"/>
    <w:rsid w:val="0052371D"/>
    <w:rsid w:val="0053006D"/>
    <w:rsid w:val="00531D0E"/>
    <w:rsid w:val="00532E5D"/>
    <w:rsid w:val="005360ED"/>
    <w:rsid w:val="0054019F"/>
    <w:rsid w:val="005452D9"/>
    <w:rsid w:val="0054759D"/>
    <w:rsid w:val="005565CB"/>
    <w:rsid w:val="00564063"/>
    <w:rsid w:val="00564712"/>
    <w:rsid w:val="00570CC7"/>
    <w:rsid w:val="005749FF"/>
    <w:rsid w:val="005751B8"/>
    <w:rsid w:val="00575DD1"/>
    <w:rsid w:val="005822C1"/>
    <w:rsid w:val="00586A55"/>
    <w:rsid w:val="00586CF8"/>
    <w:rsid w:val="00596529"/>
    <w:rsid w:val="00596A2C"/>
    <w:rsid w:val="00596CC9"/>
    <w:rsid w:val="0059738E"/>
    <w:rsid w:val="005973C5"/>
    <w:rsid w:val="005A13D8"/>
    <w:rsid w:val="005A1D49"/>
    <w:rsid w:val="005A3E00"/>
    <w:rsid w:val="005A428D"/>
    <w:rsid w:val="005B3688"/>
    <w:rsid w:val="005B5688"/>
    <w:rsid w:val="005B5C7C"/>
    <w:rsid w:val="005C1B6C"/>
    <w:rsid w:val="005C2B69"/>
    <w:rsid w:val="005C7C5F"/>
    <w:rsid w:val="005D796A"/>
    <w:rsid w:val="005E45AC"/>
    <w:rsid w:val="005F0FF3"/>
    <w:rsid w:val="005F30E1"/>
    <w:rsid w:val="00602C3A"/>
    <w:rsid w:val="00612415"/>
    <w:rsid w:val="00626C8A"/>
    <w:rsid w:val="00631210"/>
    <w:rsid w:val="00634FEE"/>
    <w:rsid w:val="006403ED"/>
    <w:rsid w:val="00642FDB"/>
    <w:rsid w:val="0064642C"/>
    <w:rsid w:val="00652394"/>
    <w:rsid w:val="00652CAF"/>
    <w:rsid w:val="00656377"/>
    <w:rsid w:val="00656F51"/>
    <w:rsid w:val="006726E0"/>
    <w:rsid w:val="006859DB"/>
    <w:rsid w:val="0068734A"/>
    <w:rsid w:val="00690062"/>
    <w:rsid w:val="006921B0"/>
    <w:rsid w:val="006952D3"/>
    <w:rsid w:val="00697772"/>
    <w:rsid w:val="006A74CC"/>
    <w:rsid w:val="006B178C"/>
    <w:rsid w:val="006B1B29"/>
    <w:rsid w:val="006B5D42"/>
    <w:rsid w:val="006B6155"/>
    <w:rsid w:val="006C69B9"/>
    <w:rsid w:val="006D0195"/>
    <w:rsid w:val="006D56EF"/>
    <w:rsid w:val="006D646E"/>
    <w:rsid w:val="006E1F20"/>
    <w:rsid w:val="006E64D2"/>
    <w:rsid w:val="006E7B12"/>
    <w:rsid w:val="00712378"/>
    <w:rsid w:val="007138B1"/>
    <w:rsid w:val="0072191A"/>
    <w:rsid w:val="00730C0C"/>
    <w:rsid w:val="00741A5B"/>
    <w:rsid w:val="0074374D"/>
    <w:rsid w:val="0075002E"/>
    <w:rsid w:val="0075220D"/>
    <w:rsid w:val="007565C2"/>
    <w:rsid w:val="00766421"/>
    <w:rsid w:val="00772610"/>
    <w:rsid w:val="0077303B"/>
    <w:rsid w:val="00773941"/>
    <w:rsid w:val="00783ED0"/>
    <w:rsid w:val="00790A57"/>
    <w:rsid w:val="0079690E"/>
    <w:rsid w:val="00797C25"/>
    <w:rsid w:val="007B0588"/>
    <w:rsid w:val="007B0698"/>
    <w:rsid w:val="007B3AC6"/>
    <w:rsid w:val="007B61F2"/>
    <w:rsid w:val="007B7942"/>
    <w:rsid w:val="007C040E"/>
    <w:rsid w:val="007C3A5B"/>
    <w:rsid w:val="007D0A6E"/>
    <w:rsid w:val="007D2D8D"/>
    <w:rsid w:val="007D515F"/>
    <w:rsid w:val="007D7AD9"/>
    <w:rsid w:val="007E199F"/>
    <w:rsid w:val="007E4D39"/>
    <w:rsid w:val="00802C42"/>
    <w:rsid w:val="00804166"/>
    <w:rsid w:val="008074EB"/>
    <w:rsid w:val="00812848"/>
    <w:rsid w:val="00814EC4"/>
    <w:rsid w:val="00827871"/>
    <w:rsid w:val="00830F85"/>
    <w:rsid w:val="00832E45"/>
    <w:rsid w:val="00835BBA"/>
    <w:rsid w:val="00840AC5"/>
    <w:rsid w:val="00845744"/>
    <w:rsid w:val="008464E3"/>
    <w:rsid w:val="0085219D"/>
    <w:rsid w:val="00853F57"/>
    <w:rsid w:val="008545D7"/>
    <w:rsid w:val="00857BC4"/>
    <w:rsid w:val="008615D1"/>
    <w:rsid w:val="00865E46"/>
    <w:rsid w:val="00866284"/>
    <w:rsid w:val="00866FA6"/>
    <w:rsid w:val="008705D1"/>
    <w:rsid w:val="00871440"/>
    <w:rsid w:val="0088293E"/>
    <w:rsid w:val="00886E5B"/>
    <w:rsid w:val="00891FE7"/>
    <w:rsid w:val="00894BA6"/>
    <w:rsid w:val="00894E04"/>
    <w:rsid w:val="008A0C7F"/>
    <w:rsid w:val="008A0CD2"/>
    <w:rsid w:val="008A0FA9"/>
    <w:rsid w:val="008A328A"/>
    <w:rsid w:val="008A41AF"/>
    <w:rsid w:val="008B017E"/>
    <w:rsid w:val="008B626A"/>
    <w:rsid w:val="008C42CB"/>
    <w:rsid w:val="008C7052"/>
    <w:rsid w:val="008D53CE"/>
    <w:rsid w:val="008D6ECA"/>
    <w:rsid w:val="008E5089"/>
    <w:rsid w:val="008E60D4"/>
    <w:rsid w:val="008E6B93"/>
    <w:rsid w:val="008F108C"/>
    <w:rsid w:val="008F341A"/>
    <w:rsid w:val="008F4CAA"/>
    <w:rsid w:val="00901E55"/>
    <w:rsid w:val="00905A0C"/>
    <w:rsid w:val="00921E59"/>
    <w:rsid w:val="00924AF2"/>
    <w:rsid w:val="00925B25"/>
    <w:rsid w:val="009365EE"/>
    <w:rsid w:val="00937B1E"/>
    <w:rsid w:val="00937BBD"/>
    <w:rsid w:val="0094012B"/>
    <w:rsid w:val="0095135F"/>
    <w:rsid w:val="009535EE"/>
    <w:rsid w:val="00980F61"/>
    <w:rsid w:val="00982549"/>
    <w:rsid w:val="00982ADA"/>
    <w:rsid w:val="00987060"/>
    <w:rsid w:val="0098741B"/>
    <w:rsid w:val="009936CF"/>
    <w:rsid w:val="00995297"/>
    <w:rsid w:val="00996AC1"/>
    <w:rsid w:val="00996D40"/>
    <w:rsid w:val="009975C6"/>
    <w:rsid w:val="009A335D"/>
    <w:rsid w:val="009A5A4A"/>
    <w:rsid w:val="009A642E"/>
    <w:rsid w:val="009B0AE1"/>
    <w:rsid w:val="009B0CC2"/>
    <w:rsid w:val="009B67EE"/>
    <w:rsid w:val="009C0469"/>
    <w:rsid w:val="009C2D72"/>
    <w:rsid w:val="009C322D"/>
    <w:rsid w:val="009C6181"/>
    <w:rsid w:val="009C7D25"/>
    <w:rsid w:val="009D1442"/>
    <w:rsid w:val="009D75CB"/>
    <w:rsid w:val="009E02A1"/>
    <w:rsid w:val="009E13A4"/>
    <w:rsid w:val="009E6A0D"/>
    <w:rsid w:val="009F3223"/>
    <w:rsid w:val="00A00DF0"/>
    <w:rsid w:val="00A017A9"/>
    <w:rsid w:val="00A023F7"/>
    <w:rsid w:val="00A039BA"/>
    <w:rsid w:val="00A1179A"/>
    <w:rsid w:val="00A2125F"/>
    <w:rsid w:val="00A221E7"/>
    <w:rsid w:val="00A23620"/>
    <w:rsid w:val="00A23A3F"/>
    <w:rsid w:val="00A370C9"/>
    <w:rsid w:val="00A37D6A"/>
    <w:rsid w:val="00A40921"/>
    <w:rsid w:val="00A424ED"/>
    <w:rsid w:val="00A426C0"/>
    <w:rsid w:val="00A43603"/>
    <w:rsid w:val="00A44850"/>
    <w:rsid w:val="00A45045"/>
    <w:rsid w:val="00A46AB2"/>
    <w:rsid w:val="00A52C25"/>
    <w:rsid w:val="00A53142"/>
    <w:rsid w:val="00A55004"/>
    <w:rsid w:val="00A56C9A"/>
    <w:rsid w:val="00A57FA6"/>
    <w:rsid w:val="00A60103"/>
    <w:rsid w:val="00A67831"/>
    <w:rsid w:val="00A72EDB"/>
    <w:rsid w:val="00A746F1"/>
    <w:rsid w:val="00A75CD1"/>
    <w:rsid w:val="00A75EB3"/>
    <w:rsid w:val="00A77685"/>
    <w:rsid w:val="00A77B43"/>
    <w:rsid w:val="00A82082"/>
    <w:rsid w:val="00A84635"/>
    <w:rsid w:val="00A84D93"/>
    <w:rsid w:val="00A87907"/>
    <w:rsid w:val="00A943F3"/>
    <w:rsid w:val="00AA526A"/>
    <w:rsid w:val="00AA7E9E"/>
    <w:rsid w:val="00AB25C4"/>
    <w:rsid w:val="00AB2CE0"/>
    <w:rsid w:val="00AB764F"/>
    <w:rsid w:val="00AC7DCF"/>
    <w:rsid w:val="00AD3F80"/>
    <w:rsid w:val="00AD405E"/>
    <w:rsid w:val="00AD6439"/>
    <w:rsid w:val="00AE7118"/>
    <w:rsid w:val="00AF60D8"/>
    <w:rsid w:val="00AF66C8"/>
    <w:rsid w:val="00AF6D13"/>
    <w:rsid w:val="00B02CAA"/>
    <w:rsid w:val="00B03A04"/>
    <w:rsid w:val="00B03F34"/>
    <w:rsid w:val="00B20BA3"/>
    <w:rsid w:val="00B22D81"/>
    <w:rsid w:val="00B2578D"/>
    <w:rsid w:val="00B3497A"/>
    <w:rsid w:val="00B352E2"/>
    <w:rsid w:val="00B37244"/>
    <w:rsid w:val="00B37D65"/>
    <w:rsid w:val="00B422A0"/>
    <w:rsid w:val="00B452C5"/>
    <w:rsid w:val="00B51866"/>
    <w:rsid w:val="00B51FF4"/>
    <w:rsid w:val="00B53830"/>
    <w:rsid w:val="00B56736"/>
    <w:rsid w:val="00B60EB6"/>
    <w:rsid w:val="00B65517"/>
    <w:rsid w:val="00B658D2"/>
    <w:rsid w:val="00B66E34"/>
    <w:rsid w:val="00B67772"/>
    <w:rsid w:val="00B73A23"/>
    <w:rsid w:val="00B73C4C"/>
    <w:rsid w:val="00B80ED4"/>
    <w:rsid w:val="00B822AF"/>
    <w:rsid w:val="00B869EB"/>
    <w:rsid w:val="00B86A67"/>
    <w:rsid w:val="00BA0242"/>
    <w:rsid w:val="00BA5BCF"/>
    <w:rsid w:val="00BB5B78"/>
    <w:rsid w:val="00BB5C91"/>
    <w:rsid w:val="00BB7054"/>
    <w:rsid w:val="00BC15A5"/>
    <w:rsid w:val="00BC40EA"/>
    <w:rsid w:val="00BC63F5"/>
    <w:rsid w:val="00BD157F"/>
    <w:rsid w:val="00BD2D58"/>
    <w:rsid w:val="00BD35CB"/>
    <w:rsid w:val="00BD44C7"/>
    <w:rsid w:val="00BD71B0"/>
    <w:rsid w:val="00BD776E"/>
    <w:rsid w:val="00BE005D"/>
    <w:rsid w:val="00BE09CF"/>
    <w:rsid w:val="00BE39FD"/>
    <w:rsid w:val="00BF09CC"/>
    <w:rsid w:val="00C01CDF"/>
    <w:rsid w:val="00C0511C"/>
    <w:rsid w:val="00C05B2A"/>
    <w:rsid w:val="00C10439"/>
    <w:rsid w:val="00C12A01"/>
    <w:rsid w:val="00C23AEA"/>
    <w:rsid w:val="00C263D0"/>
    <w:rsid w:val="00C26A4B"/>
    <w:rsid w:val="00C278A8"/>
    <w:rsid w:val="00C30995"/>
    <w:rsid w:val="00C41893"/>
    <w:rsid w:val="00C44B7D"/>
    <w:rsid w:val="00C46867"/>
    <w:rsid w:val="00C53EB4"/>
    <w:rsid w:val="00C60CFB"/>
    <w:rsid w:val="00C630B6"/>
    <w:rsid w:val="00C65A8E"/>
    <w:rsid w:val="00C66D1F"/>
    <w:rsid w:val="00C76497"/>
    <w:rsid w:val="00C80B76"/>
    <w:rsid w:val="00C8126E"/>
    <w:rsid w:val="00C816CA"/>
    <w:rsid w:val="00C84BE1"/>
    <w:rsid w:val="00C90FD7"/>
    <w:rsid w:val="00C923B6"/>
    <w:rsid w:val="00C93015"/>
    <w:rsid w:val="00C931EC"/>
    <w:rsid w:val="00C94389"/>
    <w:rsid w:val="00C9573A"/>
    <w:rsid w:val="00CA0111"/>
    <w:rsid w:val="00CA0F9B"/>
    <w:rsid w:val="00CA11D2"/>
    <w:rsid w:val="00CA1F8D"/>
    <w:rsid w:val="00CA2EBA"/>
    <w:rsid w:val="00CA460F"/>
    <w:rsid w:val="00CB0042"/>
    <w:rsid w:val="00CB0EE6"/>
    <w:rsid w:val="00CB3AD8"/>
    <w:rsid w:val="00CB6905"/>
    <w:rsid w:val="00CB7CF3"/>
    <w:rsid w:val="00CC2BD9"/>
    <w:rsid w:val="00CC3FD8"/>
    <w:rsid w:val="00CD2B47"/>
    <w:rsid w:val="00CD5EAC"/>
    <w:rsid w:val="00CD7FDE"/>
    <w:rsid w:val="00CE11C1"/>
    <w:rsid w:val="00CE1A2A"/>
    <w:rsid w:val="00CE5E2E"/>
    <w:rsid w:val="00CE75D3"/>
    <w:rsid w:val="00CF0D72"/>
    <w:rsid w:val="00CF4E18"/>
    <w:rsid w:val="00CF611A"/>
    <w:rsid w:val="00D0000A"/>
    <w:rsid w:val="00D01587"/>
    <w:rsid w:val="00D02DAF"/>
    <w:rsid w:val="00D06549"/>
    <w:rsid w:val="00D069CF"/>
    <w:rsid w:val="00D07DC0"/>
    <w:rsid w:val="00D12DB7"/>
    <w:rsid w:val="00D13177"/>
    <w:rsid w:val="00D13769"/>
    <w:rsid w:val="00D14FFE"/>
    <w:rsid w:val="00D24DF4"/>
    <w:rsid w:val="00D276EA"/>
    <w:rsid w:val="00D27D37"/>
    <w:rsid w:val="00D31808"/>
    <w:rsid w:val="00D43DE9"/>
    <w:rsid w:val="00D440C0"/>
    <w:rsid w:val="00D44FEB"/>
    <w:rsid w:val="00D50620"/>
    <w:rsid w:val="00D50A09"/>
    <w:rsid w:val="00D5269F"/>
    <w:rsid w:val="00D52EF1"/>
    <w:rsid w:val="00D54063"/>
    <w:rsid w:val="00D73D60"/>
    <w:rsid w:val="00D74A26"/>
    <w:rsid w:val="00D77678"/>
    <w:rsid w:val="00D81C05"/>
    <w:rsid w:val="00D8230B"/>
    <w:rsid w:val="00D82F63"/>
    <w:rsid w:val="00D87353"/>
    <w:rsid w:val="00D90FC8"/>
    <w:rsid w:val="00D94884"/>
    <w:rsid w:val="00DA2A8D"/>
    <w:rsid w:val="00DA654F"/>
    <w:rsid w:val="00DA6C55"/>
    <w:rsid w:val="00DA776E"/>
    <w:rsid w:val="00DB1242"/>
    <w:rsid w:val="00DB4988"/>
    <w:rsid w:val="00DB63A9"/>
    <w:rsid w:val="00DB79FC"/>
    <w:rsid w:val="00DC11D0"/>
    <w:rsid w:val="00DC552F"/>
    <w:rsid w:val="00DD11F7"/>
    <w:rsid w:val="00DD7409"/>
    <w:rsid w:val="00DD74C9"/>
    <w:rsid w:val="00DE512D"/>
    <w:rsid w:val="00DF365F"/>
    <w:rsid w:val="00E02659"/>
    <w:rsid w:val="00E04E5A"/>
    <w:rsid w:val="00E06AC2"/>
    <w:rsid w:val="00E140C9"/>
    <w:rsid w:val="00E14598"/>
    <w:rsid w:val="00E16318"/>
    <w:rsid w:val="00E1751D"/>
    <w:rsid w:val="00E34C73"/>
    <w:rsid w:val="00E44818"/>
    <w:rsid w:val="00E468B5"/>
    <w:rsid w:val="00E60B0E"/>
    <w:rsid w:val="00E6757A"/>
    <w:rsid w:val="00E67B51"/>
    <w:rsid w:val="00E71B98"/>
    <w:rsid w:val="00E72F62"/>
    <w:rsid w:val="00E86771"/>
    <w:rsid w:val="00E94032"/>
    <w:rsid w:val="00EA1E48"/>
    <w:rsid w:val="00EA2E56"/>
    <w:rsid w:val="00EA57B9"/>
    <w:rsid w:val="00EB1E5C"/>
    <w:rsid w:val="00EC6F91"/>
    <w:rsid w:val="00ED0013"/>
    <w:rsid w:val="00EE1C49"/>
    <w:rsid w:val="00EE2AA8"/>
    <w:rsid w:val="00EE7F35"/>
    <w:rsid w:val="00EF77B5"/>
    <w:rsid w:val="00F01011"/>
    <w:rsid w:val="00F017A1"/>
    <w:rsid w:val="00F04EE7"/>
    <w:rsid w:val="00F06FB0"/>
    <w:rsid w:val="00F139EE"/>
    <w:rsid w:val="00F15D05"/>
    <w:rsid w:val="00F17CAC"/>
    <w:rsid w:val="00F21374"/>
    <w:rsid w:val="00F22661"/>
    <w:rsid w:val="00F23F11"/>
    <w:rsid w:val="00F35041"/>
    <w:rsid w:val="00F4088B"/>
    <w:rsid w:val="00F43917"/>
    <w:rsid w:val="00F517BE"/>
    <w:rsid w:val="00F565BB"/>
    <w:rsid w:val="00F64377"/>
    <w:rsid w:val="00F65E16"/>
    <w:rsid w:val="00F6697B"/>
    <w:rsid w:val="00F77617"/>
    <w:rsid w:val="00F85181"/>
    <w:rsid w:val="00F85505"/>
    <w:rsid w:val="00F9044D"/>
    <w:rsid w:val="00F97927"/>
    <w:rsid w:val="00FA0363"/>
    <w:rsid w:val="00FA15C9"/>
    <w:rsid w:val="00FA3024"/>
    <w:rsid w:val="00FA33AF"/>
    <w:rsid w:val="00FA3491"/>
    <w:rsid w:val="00FA4748"/>
    <w:rsid w:val="00FC769F"/>
    <w:rsid w:val="00FC7E0F"/>
    <w:rsid w:val="00F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date"/>
  <w:smartTagType w:namespaceuri="urn:schemas-microsoft-com:office:smarttags" w:name="Street"/>
  <w:smartTagType w:namespaceuri="urn:schemas-microsoft-com:office:smarttags" w:name="address"/>
  <w:smartTagType w:namespaceuri="schemas-workshare-com/workshare" w:url=" " w:name="PolicySmartTags.CWSPolicyTagAction_4"/>
  <w:smartTagType w:namespaceuri="schemas-workshare-com/workshare" w:url=" " w:name="financialdisclosure"/>
  <w:shapeDefaults>
    <o:shapedefaults v:ext="edit" spidmax="32769"/>
    <o:shapelayout v:ext="edit">
      <o:idmap v:ext="edit" data="1"/>
    </o:shapelayout>
  </w:shapeDefaults>
  <w:decimalSymbol w:val="."/>
  <w:listSeparator w:val=","/>
  <w15:docId w15:val="{4CFB1032-0B1C-4B3C-970D-009E598D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374"/>
    <w:rPr>
      <w:rFonts w:eastAsia="Calibri"/>
      <w:sz w:val="24"/>
      <w:szCs w:val="24"/>
    </w:rPr>
  </w:style>
  <w:style w:type="paragraph" w:styleId="Heading1">
    <w:name w:val="heading 1"/>
    <w:basedOn w:val="Normal"/>
    <w:next w:val="Normal"/>
    <w:link w:val="Heading1Char"/>
    <w:uiPriority w:val="39"/>
    <w:rsid w:val="00A746F1"/>
    <w:pPr>
      <w:keepNext/>
      <w:keepLines/>
      <w:spacing w:before="480"/>
      <w:outlineLvl w:val="0"/>
    </w:pPr>
    <w:rPr>
      <w:rFonts w:eastAsia="Times New Roman"/>
      <w:b/>
      <w:bCs/>
      <w:szCs w:val="28"/>
    </w:rPr>
  </w:style>
  <w:style w:type="paragraph" w:styleId="Heading2">
    <w:name w:val="heading 2"/>
    <w:basedOn w:val="Normal"/>
    <w:next w:val="Normal"/>
    <w:link w:val="Heading2Char"/>
    <w:uiPriority w:val="39"/>
    <w:semiHidden/>
    <w:rsid w:val="00A746F1"/>
    <w:pPr>
      <w:keepNext/>
      <w:keepLines/>
      <w:spacing w:before="200"/>
      <w:outlineLvl w:val="1"/>
    </w:pPr>
    <w:rPr>
      <w:rFonts w:eastAsia="Times New Roman"/>
      <w:b/>
      <w:bCs/>
      <w:szCs w:val="26"/>
    </w:rPr>
  </w:style>
  <w:style w:type="paragraph" w:styleId="Heading3">
    <w:name w:val="heading 3"/>
    <w:basedOn w:val="Normal"/>
    <w:next w:val="Normal"/>
    <w:link w:val="Heading3Char"/>
    <w:uiPriority w:val="39"/>
    <w:semiHidden/>
    <w:rsid w:val="00A746F1"/>
    <w:pPr>
      <w:keepNext/>
      <w:keepLines/>
      <w:spacing w:before="200"/>
      <w:outlineLvl w:val="2"/>
    </w:pPr>
    <w:rPr>
      <w:rFonts w:eastAsia="Times New Roman"/>
      <w:b/>
      <w:bCs/>
    </w:rPr>
  </w:style>
  <w:style w:type="paragraph" w:styleId="Heading4">
    <w:name w:val="heading 4"/>
    <w:basedOn w:val="Normal"/>
    <w:next w:val="Normal"/>
    <w:link w:val="Heading4Char"/>
    <w:uiPriority w:val="39"/>
    <w:semiHidden/>
    <w:rsid w:val="00A746F1"/>
    <w:pPr>
      <w:keepNext/>
      <w:keepLines/>
      <w:spacing w:before="200"/>
      <w:outlineLvl w:val="3"/>
    </w:pPr>
    <w:rPr>
      <w:rFonts w:eastAsia="Times New Roman"/>
      <w:b/>
      <w:bCs/>
      <w:i/>
      <w:iCs/>
    </w:rPr>
  </w:style>
  <w:style w:type="paragraph" w:styleId="Heading5">
    <w:name w:val="heading 5"/>
    <w:basedOn w:val="Normal"/>
    <w:next w:val="Normal"/>
    <w:link w:val="Heading5Char"/>
    <w:uiPriority w:val="39"/>
    <w:semiHidden/>
    <w:rsid w:val="00A746F1"/>
    <w:pPr>
      <w:keepNext/>
      <w:keepLines/>
      <w:spacing w:before="200"/>
      <w:outlineLvl w:val="4"/>
    </w:pPr>
    <w:rPr>
      <w:rFonts w:eastAsia="Times New Roman"/>
    </w:rPr>
  </w:style>
  <w:style w:type="paragraph" w:styleId="Heading6">
    <w:name w:val="heading 6"/>
    <w:basedOn w:val="Normal"/>
    <w:next w:val="Normal"/>
    <w:link w:val="Heading6Char"/>
    <w:uiPriority w:val="39"/>
    <w:semiHidden/>
    <w:rsid w:val="00A746F1"/>
    <w:pPr>
      <w:keepNext/>
      <w:keepLines/>
      <w:spacing w:before="200"/>
      <w:outlineLvl w:val="5"/>
    </w:pPr>
    <w:rPr>
      <w:rFonts w:eastAsia="Times New Roman"/>
      <w:i/>
      <w:iCs/>
    </w:rPr>
  </w:style>
  <w:style w:type="paragraph" w:styleId="Heading7">
    <w:name w:val="heading 7"/>
    <w:basedOn w:val="Normal"/>
    <w:next w:val="Normal"/>
    <w:link w:val="Heading7Char"/>
    <w:uiPriority w:val="39"/>
    <w:semiHidden/>
    <w:rsid w:val="00A746F1"/>
    <w:pPr>
      <w:keepNext/>
      <w:keepLines/>
      <w:spacing w:before="200"/>
      <w:outlineLvl w:val="6"/>
    </w:pPr>
    <w:rPr>
      <w:rFonts w:eastAsia="Times New Roman"/>
      <w:i/>
      <w:iCs/>
    </w:rPr>
  </w:style>
  <w:style w:type="paragraph" w:styleId="Heading8">
    <w:name w:val="heading 8"/>
    <w:basedOn w:val="Normal"/>
    <w:next w:val="Normal"/>
    <w:link w:val="Heading8Char"/>
    <w:uiPriority w:val="39"/>
    <w:semiHidden/>
    <w:rsid w:val="00A746F1"/>
    <w:pPr>
      <w:keepNext/>
      <w:keepLines/>
      <w:spacing w:before="200"/>
      <w:outlineLvl w:val="7"/>
    </w:pPr>
    <w:rPr>
      <w:rFonts w:eastAsia="Times New Roman"/>
      <w:szCs w:val="20"/>
    </w:rPr>
  </w:style>
  <w:style w:type="paragraph" w:styleId="Heading9">
    <w:name w:val="heading 9"/>
    <w:basedOn w:val="Normal"/>
    <w:next w:val="Normal"/>
    <w:link w:val="Heading9Char"/>
    <w:uiPriority w:val="39"/>
    <w:semiHidden/>
    <w:rsid w:val="00A746F1"/>
    <w:pPr>
      <w:keepNext/>
      <w:keepLines/>
      <w:spacing w:before="200"/>
      <w:outlineLvl w:val="8"/>
    </w:pPr>
    <w:rPr>
      <w:rFonts w:eastAsia="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A746F1"/>
    <w:rPr>
      <w:rFonts w:eastAsia="Times New Roman"/>
      <w:sz w:val="24"/>
      <w:szCs w:val="24"/>
    </w:rPr>
  </w:style>
  <w:style w:type="paragraph" w:customStyle="1" w:styleId="10sp0nospaceafter">
    <w:name w:val="_1.0sp 0&quot; (no space after)"/>
    <w:basedOn w:val="Normal"/>
    <w:rsid w:val="007138B1"/>
    <w:pPr>
      <w:suppressAutoHyphens/>
    </w:pPr>
    <w:rPr>
      <w:rFonts w:eastAsia="Times New Roman"/>
      <w:szCs w:val="20"/>
    </w:rPr>
  </w:style>
  <w:style w:type="paragraph" w:customStyle="1" w:styleId="10sp0">
    <w:name w:val="_1.0sp 0&quot;"/>
    <w:aliases w:val="p1"/>
    <w:basedOn w:val="Normal"/>
    <w:rsid w:val="007138B1"/>
    <w:pPr>
      <w:suppressAutoHyphens/>
      <w:spacing w:after="240"/>
    </w:pPr>
    <w:rPr>
      <w:rFonts w:eastAsia="Times New Roman"/>
      <w:szCs w:val="20"/>
    </w:rPr>
  </w:style>
  <w:style w:type="paragraph" w:customStyle="1" w:styleId="10sp05">
    <w:name w:val="_1.0sp 0.5&quot;"/>
    <w:aliases w:val="p3"/>
    <w:basedOn w:val="Normal"/>
    <w:rsid w:val="007138B1"/>
    <w:pPr>
      <w:suppressAutoHyphens/>
      <w:spacing w:after="240"/>
      <w:ind w:firstLine="720"/>
    </w:pPr>
    <w:rPr>
      <w:rFonts w:eastAsia="Times New Roman"/>
      <w:szCs w:val="20"/>
    </w:rPr>
  </w:style>
  <w:style w:type="paragraph" w:customStyle="1" w:styleId="10sp1">
    <w:name w:val="_1.0sp 1&quot;"/>
    <w:aliases w:val="p5"/>
    <w:basedOn w:val="Normal"/>
    <w:rsid w:val="007138B1"/>
    <w:pPr>
      <w:suppressAutoHyphens/>
      <w:spacing w:after="240"/>
      <w:ind w:firstLine="1440"/>
    </w:pPr>
    <w:rPr>
      <w:rFonts w:eastAsia="Times New Roman"/>
      <w:szCs w:val="20"/>
    </w:rPr>
  </w:style>
  <w:style w:type="paragraph" w:customStyle="1" w:styleId="10sp15">
    <w:name w:val="_1.0sp 1.5&quot;"/>
    <w:basedOn w:val="Normal"/>
    <w:rsid w:val="007138B1"/>
    <w:pPr>
      <w:suppressAutoHyphens/>
      <w:spacing w:after="240"/>
      <w:ind w:firstLine="2160"/>
    </w:pPr>
    <w:rPr>
      <w:rFonts w:eastAsia="Times New Roman"/>
      <w:szCs w:val="20"/>
    </w:rPr>
  </w:style>
  <w:style w:type="paragraph" w:customStyle="1" w:styleId="10spCentered">
    <w:name w:val="_1.0sp Centered"/>
    <w:basedOn w:val="Normal"/>
    <w:rsid w:val="007138B1"/>
    <w:pPr>
      <w:suppressAutoHyphens/>
      <w:spacing w:after="240"/>
      <w:jc w:val="center"/>
    </w:pPr>
    <w:rPr>
      <w:rFonts w:eastAsia="Times New Roman"/>
      <w:szCs w:val="20"/>
    </w:rPr>
  </w:style>
  <w:style w:type="paragraph" w:customStyle="1" w:styleId="10spCenterednospaceafter">
    <w:name w:val="_1.0sp Centered (no space after)"/>
    <w:basedOn w:val="Normal"/>
    <w:rsid w:val="007138B1"/>
    <w:pPr>
      <w:suppressAutoHyphens/>
      <w:jc w:val="center"/>
    </w:pPr>
    <w:rPr>
      <w:rFonts w:eastAsia="Times New Roman"/>
      <w:szCs w:val="20"/>
    </w:rPr>
  </w:style>
  <w:style w:type="paragraph" w:customStyle="1" w:styleId="10spHanging05nospaceafter">
    <w:name w:val="_1.0sp Hanging 0.5&quot; (no space after)"/>
    <w:basedOn w:val="Normal"/>
    <w:rsid w:val="007138B1"/>
    <w:pPr>
      <w:suppressAutoHyphens/>
      <w:ind w:left="720" w:hanging="720"/>
    </w:pPr>
    <w:rPr>
      <w:rFonts w:eastAsia="Times New Roman"/>
      <w:szCs w:val="20"/>
    </w:rPr>
  </w:style>
  <w:style w:type="paragraph" w:customStyle="1" w:styleId="10spHanging05">
    <w:name w:val="_1.0sp Hanging 0.5&quot;"/>
    <w:aliases w:val="h"/>
    <w:basedOn w:val="Normal"/>
    <w:rsid w:val="007138B1"/>
    <w:pPr>
      <w:suppressAutoHyphens/>
      <w:spacing w:after="240"/>
      <w:ind w:left="720" w:hanging="720"/>
    </w:pPr>
    <w:rPr>
      <w:rFonts w:eastAsia="Times New Roman"/>
      <w:szCs w:val="20"/>
    </w:rPr>
  </w:style>
  <w:style w:type="paragraph" w:customStyle="1" w:styleId="10spHanging1">
    <w:name w:val="_1.0sp Hanging 1&quot;"/>
    <w:aliases w:val="h2"/>
    <w:basedOn w:val="Normal"/>
    <w:rsid w:val="007138B1"/>
    <w:pPr>
      <w:suppressAutoHyphens/>
      <w:spacing w:after="240"/>
      <w:ind w:left="1440" w:hanging="720"/>
    </w:pPr>
    <w:rPr>
      <w:rFonts w:eastAsia="Times New Roman"/>
      <w:szCs w:val="20"/>
    </w:rPr>
  </w:style>
  <w:style w:type="paragraph" w:customStyle="1" w:styleId="10spHanging15">
    <w:name w:val="_1.0sp Hanging 1.5&quot;"/>
    <w:basedOn w:val="Normal"/>
    <w:rsid w:val="007138B1"/>
    <w:pPr>
      <w:suppressAutoHyphens/>
      <w:spacing w:after="240"/>
      <w:ind w:left="2160" w:hanging="720"/>
    </w:pPr>
    <w:rPr>
      <w:rFonts w:eastAsia="Times New Roman"/>
      <w:szCs w:val="20"/>
    </w:rPr>
  </w:style>
  <w:style w:type="paragraph" w:customStyle="1" w:styleId="10spLeftInd05nospaceafter">
    <w:name w:val="_1.0sp Left Ind 0.5&quot; (no space after)"/>
    <w:basedOn w:val="Normal"/>
    <w:rsid w:val="007138B1"/>
    <w:pPr>
      <w:suppressAutoHyphens/>
      <w:ind w:left="720"/>
    </w:pPr>
    <w:rPr>
      <w:rFonts w:eastAsia="Times New Roman"/>
      <w:szCs w:val="20"/>
    </w:rPr>
  </w:style>
  <w:style w:type="paragraph" w:customStyle="1" w:styleId="10spLeftInd05">
    <w:name w:val="_1.0sp Left Ind 0.5&quot;"/>
    <w:aliases w:val="p7"/>
    <w:basedOn w:val="Normal"/>
    <w:rsid w:val="007138B1"/>
    <w:pPr>
      <w:suppressAutoHyphens/>
      <w:spacing w:after="240"/>
      <w:ind w:left="720"/>
    </w:pPr>
    <w:rPr>
      <w:rFonts w:eastAsia="Times New Roman"/>
      <w:szCs w:val="20"/>
    </w:rPr>
  </w:style>
  <w:style w:type="paragraph" w:customStyle="1" w:styleId="10spLeftInd1">
    <w:name w:val="_1.0sp Left Ind 1&quot;"/>
    <w:aliases w:val="p21"/>
    <w:basedOn w:val="Normal"/>
    <w:rsid w:val="007138B1"/>
    <w:pPr>
      <w:suppressAutoHyphens/>
      <w:spacing w:after="240"/>
      <w:ind w:left="1440"/>
    </w:pPr>
    <w:rPr>
      <w:rFonts w:eastAsia="Times New Roman"/>
      <w:szCs w:val="20"/>
    </w:rPr>
  </w:style>
  <w:style w:type="paragraph" w:customStyle="1" w:styleId="10spLeftInd15">
    <w:name w:val="_1.0sp Left Ind 1.5&quot;"/>
    <w:basedOn w:val="Normal"/>
    <w:rsid w:val="007138B1"/>
    <w:pPr>
      <w:suppressAutoHyphens/>
      <w:spacing w:after="240"/>
      <w:ind w:left="2160"/>
    </w:pPr>
    <w:rPr>
      <w:rFonts w:eastAsia="Times New Roman"/>
      <w:szCs w:val="20"/>
    </w:rPr>
  </w:style>
  <w:style w:type="paragraph" w:customStyle="1" w:styleId="10spLeft-Right05">
    <w:name w:val="_1.0sp Left-Right 0.5&quot;"/>
    <w:aliases w:val="p9"/>
    <w:basedOn w:val="Normal"/>
    <w:rsid w:val="007138B1"/>
    <w:pPr>
      <w:suppressAutoHyphens/>
      <w:spacing w:after="240"/>
      <w:ind w:left="720" w:right="720"/>
    </w:pPr>
    <w:rPr>
      <w:rFonts w:eastAsia="Times New Roman"/>
      <w:szCs w:val="20"/>
    </w:rPr>
  </w:style>
  <w:style w:type="paragraph" w:customStyle="1" w:styleId="10spLeft-Right1">
    <w:name w:val="_1.0sp Left-Right 1&quot;"/>
    <w:aliases w:val="p25"/>
    <w:basedOn w:val="Normal"/>
    <w:rsid w:val="007138B1"/>
    <w:pPr>
      <w:suppressAutoHyphens/>
      <w:spacing w:after="240"/>
      <w:ind w:left="1440" w:right="1440"/>
    </w:pPr>
    <w:rPr>
      <w:rFonts w:eastAsia="Times New Roman"/>
      <w:szCs w:val="20"/>
    </w:rPr>
  </w:style>
  <w:style w:type="paragraph" w:customStyle="1" w:styleId="10spLeft-Right15">
    <w:name w:val="_1.0sp Left-Right 1.5&quot;"/>
    <w:basedOn w:val="Normal"/>
    <w:rsid w:val="007138B1"/>
    <w:pPr>
      <w:suppressAutoHyphens/>
      <w:spacing w:after="240"/>
      <w:ind w:left="2160" w:right="2160"/>
    </w:pPr>
    <w:rPr>
      <w:rFonts w:eastAsia="Times New Roman"/>
      <w:szCs w:val="20"/>
    </w:rPr>
  </w:style>
  <w:style w:type="paragraph" w:customStyle="1" w:styleId="10spRightAligned">
    <w:name w:val="_1.0sp Right Aligned"/>
    <w:basedOn w:val="Normal"/>
    <w:rsid w:val="007138B1"/>
    <w:pPr>
      <w:suppressAutoHyphens/>
      <w:spacing w:after="240"/>
      <w:jc w:val="right"/>
    </w:pPr>
    <w:rPr>
      <w:rFonts w:eastAsia="Times New Roman"/>
      <w:szCs w:val="20"/>
    </w:rPr>
  </w:style>
  <w:style w:type="paragraph" w:customStyle="1" w:styleId="15sp0">
    <w:name w:val="_1.5sp 0&quot;"/>
    <w:basedOn w:val="Normal"/>
    <w:rsid w:val="007138B1"/>
    <w:pPr>
      <w:suppressAutoHyphens/>
      <w:spacing w:after="240" w:line="360" w:lineRule="auto"/>
    </w:pPr>
    <w:rPr>
      <w:rFonts w:eastAsia="Times New Roman"/>
      <w:szCs w:val="20"/>
    </w:rPr>
  </w:style>
  <w:style w:type="paragraph" w:customStyle="1" w:styleId="15sp05">
    <w:name w:val="_1.5sp 0.5&quot;"/>
    <w:basedOn w:val="Normal"/>
    <w:rsid w:val="007138B1"/>
    <w:pPr>
      <w:suppressAutoHyphens/>
      <w:spacing w:after="240" w:line="360" w:lineRule="auto"/>
      <w:ind w:firstLine="720"/>
    </w:pPr>
    <w:rPr>
      <w:rFonts w:eastAsia="Times New Roman"/>
      <w:szCs w:val="20"/>
    </w:rPr>
  </w:style>
  <w:style w:type="paragraph" w:customStyle="1" w:styleId="15sp1">
    <w:name w:val="_1.5sp 1&quot;"/>
    <w:basedOn w:val="Normal"/>
    <w:rsid w:val="007138B1"/>
    <w:pPr>
      <w:suppressAutoHyphens/>
      <w:spacing w:after="240" w:line="360" w:lineRule="auto"/>
      <w:ind w:firstLine="1440"/>
    </w:pPr>
    <w:rPr>
      <w:rFonts w:eastAsia="Times New Roman"/>
      <w:szCs w:val="20"/>
    </w:rPr>
  </w:style>
  <w:style w:type="paragraph" w:customStyle="1" w:styleId="15sp15">
    <w:name w:val="_1.5sp 1.5&quot;"/>
    <w:basedOn w:val="Normal"/>
    <w:rsid w:val="007138B1"/>
    <w:pPr>
      <w:suppressAutoHyphens/>
      <w:spacing w:after="240" w:line="360" w:lineRule="auto"/>
      <w:ind w:firstLine="2160"/>
    </w:pPr>
    <w:rPr>
      <w:rFonts w:eastAsia="Times New Roman"/>
      <w:szCs w:val="20"/>
    </w:rPr>
  </w:style>
  <w:style w:type="paragraph" w:customStyle="1" w:styleId="15spCentered">
    <w:name w:val="_1.5sp Centered"/>
    <w:basedOn w:val="Normal"/>
    <w:rsid w:val="007138B1"/>
    <w:pPr>
      <w:suppressAutoHyphens/>
      <w:spacing w:line="360" w:lineRule="auto"/>
      <w:jc w:val="center"/>
    </w:pPr>
    <w:rPr>
      <w:rFonts w:eastAsia="Times New Roman"/>
      <w:szCs w:val="20"/>
    </w:rPr>
  </w:style>
  <w:style w:type="paragraph" w:customStyle="1" w:styleId="15spHanging05">
    <w:name w:val="_1.5sp Hanging 0.5&quot;"/>
    <w:basedOn w:val="Normal"/>
    <w:rsid w:val="007138B1"/>
    <w:pPr>
      <w:suppressAutoHyphens/>
      <w:spacing w:line="360" w:lineRule="auto"/>
      <w:ind w:left="720" w:hanging="720"/>
    </w:pPr>
    <w:rPr>
      <w:rFonts w:eastAsia="Times New Roman"/>
      <w:szCs w:val="20"/>
    </w:rPr>
  </w:style>
  <w:style w:type="paragraph" w:customStyle="1" w:styleId="15spHanging1">
    <w:name w:val="_1.5sp Hanging 1&quot;"/>
    <w:basedOn w:val="Normal"/>
    <w:rsid w:val="007138B1"/>
    <w:pPr>
      <w:suppressAutoHyphens/>
      <w:spacing w:line="360" w:lineRule="auto"/>
      <w:ind w:left="1440" w:hanging="720"/>
    </w:pPr>
    <w:rPr>
      <w:rFonts w:eastAsia="Times New Roman"/>
      <w:szCs w:val="20"/>
    </w:rPr>
  </w:style>
  <w:style w:type="paragraph" w:customStyle="1" w:styleId="15spHanging15">
    <w:name w:val="_1.5sp Hanging 1.5&quot;"/>
    <w:basedOn w:val="Normal"/>
    <w:rsid w:val="007138B1"/>
    <w:pPr>
      <w:suppressAutoHyphens/>
      <w:spacing w:line="360" w:lineRule="auto"/>
      <w:ind w:left="2160" w:hanging="720"/>
    </w:pPr>
    <w:rPr>
      <w:rFonts w:eastAsia="Times New Roman"/>
      <w:szCs w:val="20"/>
    </w:rPr>
  </w:style>
  <w:style w:type="paragraph" w:customStyle="1" w:styleId="15spLeftInd05">
    <w:name w:val="_1.5sp Left Ind 0.5&quot;"/>
    <w:basedOn w:val="Normal"/>
    <w:rsid w:val="007138B1"/>
    <w:pPr>
      <w:suppressAutoHyphens/>
      <w:spacing w:line="360" w:lineRule="auto"/>
      <w:ind w:left="720"/>
    </w:pPr>
    <w:rPr>
      <w:rFonts w:eastAsia="Times New Roman"/>
      <w:szCs w:val="20"/>
    </w:rPr>
  </w:style>
  <w:style w:type="paragraph" w:customStyle="1" w:styleId="15spLeftInd1">
    <w:name w:val="_1.5sp Left Ind 1&quot;"/>
    <w:basedOn w:val="Normal"/>
    <w:rsid w:val="007138B1"/>
    <w:pPr>
      <w:suppressAutoHyphens/>
      <w:spacing w:after="240" w:line="360" w:lineRule="auto"/>
      <w:ind w:left="1440"/>
    </w:pPr>
    <w:rPr>
      <w:rFonts w:eastAsia="Times New Roman"/>
      <w:szCs w:val="20"/>
    </w:rPr>
  </w:style>
  <w:style w:type="paragraph" w:customStyle="1" w:styleId="15spLeftInd15">
    <w:name w:val="_1.5sp Left Ind 1.5&quot;"/>
    <w:basedOn w:val="Normal"/>
    <w:rsid w:val="007138B1"/>
    <w:pPr>
      <w:suppressAutoHyphens/>
      <w:spacing w:line="360" w:lineRule="auto"/>
      <w:ind w:left="2160"/>
    </w:pPr>
    <w:rPr>
      <w:rFonts w:eastAsia="Times New Roman"/>
      <w:szCs w:val="20"/>
    </w:rPr>
  </w:style>
  <w:style w:type="paragraph" w:customStyle="1" w:styleId="15spLeft-Right05">
    <w:name w:val="_1.5sp Left-Right 0.5&quot;"/>
    <w:basedOn w:val="Normal"/>
    <w:rsid w:val="007138B1"/>
    <w:pPr>
      <w:suppressAutoHyphens/>
      <w:spacing w:after="240" w:line="360" w:lineRule="auto"/>
      <w:ind w:left="720" w:right="720"/>
    </w:pPr>
    <w:rPr>
      <w:rFonts w:eastAsia="Times New Roman"/>
      <w:szCs w:val="20"/>
    </w:rPr>
  </w:style>
  <w:style w:type="paragraph" w:customStyle="1" w:styleId="15spLeft-Right1">
    <w:name w:val="_1.5sp Left-Right 1&quot;"/>
    <w:basedOn w:val="Normal"/>
    <w:rsid w:val="007138B1"/>
    <w:pPr>
      <w:suppressAutoHyphens/>
      <w:spacing w:after="240" w:line="360" w:lineRule="auto"/>
      <w:ind w:left="1440" w:right="1440"/>
    </w:pPr>
    <w:rPr>
      <w:rFonts w:eastAsia="Times New Roman"/>
      <w:szCs w:val="20"/>
    </w:rPr>
  </w:style>
  <w:style w:type="paragraph" w:customStyle="1" w:styleId="15spLeft-Right15">
    <w:name w:val="_1.5sp Left-Right 1.5&quot;"/>
    <w:basedOn w:val="Normal"/>
    <w:rsid w:val="007138B1"/>
    <w:pPr>
      <w:suppressAutoHyphens/>
      <w:spacing w:line="360" w:lineRule="auto"/>
      <w:ind w:left="2160" w:right="2160"/>
    </w:pPr>
    <w:rPr>
      <w:rFonts w:eastAsia="Times New Roman"/>
      <w:szCs w:val="20"/>
    </w:rPr>
  </w:style>
  <w:style w:type="paragraph" w:customStyle="1" w:styleId="15spRightAligned">
    <w:name w:val="_1.5sp Right Aligned"/>
    <w:basedOn w:val="Normal"/>
    <w:rsid w:val="007138B1"/>
    <w:pPr>
      <w:suppressAutoHyphens/>
      <w:spacing w:line="360" w:lineRule="auto"/>
      <w:jc w:val="right"/>
    </w:pPr>
    <w:rPr>
      <w:rFonts w:eastAsia="Times New Roman"/>
      <w:szCs w:val="20"/>
    </w:rPr>
  </w:style>
  <w:style w:type="paragraph" w:customStyle="1" w:styleId="20sp0">
    <w:name w:val="_2.0sp 0&quot;"/>
    <w:aliases w:val="p11"/>
    <w:basedOn w:val="Normal"/>
    <w:rsid w:val="007138B1"/>
    <w:pPr>
      <w:suppressAutoHyphens/>
      <w:spacing w:line="480" w:lineRule="auto"/>
    </w:pPr>
    <w:rPr>
      <w:rFonts w:eastAsia="Times New Roman"/>
      <w:szCs w:val="20"/>
    </w:rPr>
  </w:style>
  <w:style w:type="paragraph" w:customStyle="1" w:styleId="20sp05">
    <w:name w:val="_2.0sp 0.5&quot;"/>
    <w:aliases w:val="p13"/>
    <w:basedOn w:val="Normal"/>
    <w:rsid w:val="007138B1"/>
    <w:pPr>
      <w:suppressAutoHyphens/>
      <w:spacing w:line="480" w:lineRule="auto"/>
      <w:ind w:firstLine="720"/>
    </w:pPr>
    <w:rPr>
      <w:rFonts w:eastAsia="Times New Roman"/>
      <w:szCs w:val="20"/>
    </w:rPr>
  </w:style>
  <w:style w:type="paragraph" w:customStyle="1" w:styleId="20sp1">
    <w:name w:val="_2.0sp 1&quot;"/>
    <w:aliases w:val="p15"/>
    <w:basedOn w:val="Normal"/>
    <w:rsid w:val="007138B1"/>
    <w:pPr>
      <w:suppressAutoHyphens/>
      <w:spacing w:line="480" w:lineRule="auto"/>
      <w:ind w:firstLine="1440"/>
    </w:pPr>
    <w:rPr>
      <w:rFonts w:eastAsia="Times New Roman"/>
      <w:szCs w:val="20"/>
    </w:rPr>
  </w:style>
  <w:style w:type="paragraph" w:customStyle="1" w:styleId="20sp15">
    <w:name w:val="_2.0sp 1.5&quot;"/>
    <w:basedOn w:val="Normal"/>
    <w:rsid w:val="007138B1"/>
    <w:pPr>
      <w:suppressAutoHyphens/>
      <w:spacing w:line="480" w:lineRule="auto"/>
      <w:ind w:firstLine="2160"/>
    </w:pPr>
    <w:rPr>
      <w:rFonts w:eastAsia="Times New Roman"/>
      <w:szCs w:val="20"/>
    </w:rPr>
  </w:style>
  <w:style w:type="paragraph" w:customStyle="1" w:styleId="20spCentered">
    <w:name w:val="_2.0sp Centered"/>
    <w:basedOn w:val="Normal"/>
    <w:rsid w:val="007138B1"/>
    <w:pPr>
      <w:suppressAutoHyphens/>
      <w:spacing w:line="480" w:lineRule="auto"/>
      <w:jc w:val="center"/>
    </w:pPr>
    <w:rPr>
      <w:rFonts w:eastAsia="Times New Roman"/>
      <w:szCs w:val="20"/>
    </w:rPr>
  </w:style>
  <w:style w:type="paragraph" w:customStyle="1" w:styleId="20spHanging05">
    <w:name w:val="_2.0sp Hanging 0.5&quot;"/>
    <w:aliases w:val="hd"/>
    <w:basedOn w:val="Normal"/>
    <w:rsid w:val="007138B1"/>
    <w:pPr>
      <w:suppressAutoHyphens/>
      <w:spacing w:line="480" w:lineRule="auto"/>
      <w:ind w:left="720" w:hanging="720"/>
    </w:pPr>
    <w:rPr>
      <w:rFonts w:eastAsia="Times New Roman"/>
      <w:szCs w:val="20"/>
    </w:rPr>
  </w:style>
  <w:style w:type="paragraph" w:customStyle="1" w:styleId="20spHanging1">
    <w:name w:val="_2.0sp Hanging 1&quot;"/>
    <w:aliases w:val="h2d"/>
    <w:basedOn w:val="Normal"/>
    <w:rsid w:val="007138B1"/>
    <w:pPr>
      <w:suppressAutoHyphens/>
      <w:spacing w:line="480" w:lineRule="auto"/>
      <w:ind w:left="1440" w:hanging="720"/>
    </w:pPr>
    <w:rPr>
      <w:rFonts w:eastAsia="Times New Roman"/>
      <w:szCs w:val="20"/>
    </w:rPr>
  </w:style>
  <w:style w:type="paragraph" w:customStyle="1" w:styleId="20spHanging15">
    <w:name w:val="_2.0sp Hanging 1.5&quot;"/>
    <w:basedOn w:val="Normal"/>
    <w:rsid w:val="007138B1"/>
    <w:pPr>
      <w:suppressAutoHyphens/>
      <w:spacing w:line="480" w:lineRule="auto"/>
      <w:ind w:left="2160" w:hanging="720"/>
    </w:pPr>
    <w:rPr>
      <w:rFonts w:eastAsia="Times New Roman"/>
      <w:szCs w:val="20"/>
    </w:rPr>
  </w:style>
  <w:style w:type="paragraph" w:customStyle="1" w:styleId="20spLeftInd05">
    <w:name w:val="_2.0sp Left Ind 0.5&quot;"/>
    <w:aliases w:val="p17"/>
    <w:basedOn w:val="Normal"/>
    <w:rsid w:val="007138B1"/>
    <w:pPr>
      <w:suppressAutoHyphens/>
      <w:spacing w:line="480" w:lineRule="auto"/>
      <w:ind w:left="720"/>
    </w:pPr>
    <w:rPr>
      <w:rFonts w:eastAsia="Times New Roman"/>
      <w:szCs w:val="20"/>
    </w:rPr>
  </w:style>
  <w:style w:type="paragraph" w:customStyle="1" w:styleId="20spLeftInd1">
    <w:name w:val="_2.0sp Left Ind 1&quot;"/>
    <w:aliases w:val="p23"/>
    <w:basedOn w:val="Normal"/>
    <w:rsid w:val="007138B1"/>
    <w:pPr>
      <w:suppressAutoHyphens/>
      <w:spacing w:line="480" w:lineRule="auto"/>
      <w:ind w:left="1440"/>
    </w:pPr>
    <w:rPr>
      <w:rFonts w:eastAsia="Times New Roman"/>
      <w:szCs w:val="20"/>
    </w:rPr>
  </w:style>
  <w:style w:type="paragraph" w:customStyle="1" w:styleId="20spLeftInd15">
    <w:name w:val="_2.0sp Left Ind 1.5&quot;"/>
    <w:basedOn w:val="Normal"/>
    <w:rsid w:val="007138B1"/>
    <w:pPr>
      <w:suppressAutoHyphens/>
      <w:spacing w:line="480" w:lineRule="auto"/>
      <w:ind w:left="2160"/>
    </w:pPr>
    <w:rPr>
      <w:rFonts w:eastAsia="Times New Roman"/>
      <w:szCs w:val="20"/>
    </w:rPr>
  </w:style>
  <w:style w:type="paragraph" w:customStyle="1" w:styleId="20spLeft-Right05">
    <w:name w:val="_2.0sp Left-Right 0.5&quot;"/>
    <w:aliases w:val="p19"/>
    <w:basedOn w:val="Normal"/>
    <w:rsid w:val="007138B1"/>
    <w:pPr>
      <w:suppressAutoHyphens/>
      <w:spacing w:line="480" w:lineRule="auto"/>
      <w:ind w:left="720" w:right="720"/>
    </w:pPr>
    <w:rPr>
      <w:rFonts w:eastAsia="Times New Roman"/>
      <w:szCs w:val="20"/>
    </w:rPr>
  </w:style>
  <w:style w:type="paragraph" w:customStyle="1" w:styleId="20spLeft-Right1">
    <w:name w:val="_2.0sp Left-Right 1&quot;"/>
    <w:aliases w:val="p26"/>
    <w:basedOn w:val="Normal"/>
    <w:rsid w:val="007138B1"/>
    <w:pPr>
      <w:suppressAutoHyphens/>
      <w:spacing w:line="480" w:lineRule="auto"/>
      <w:ind w:left="1440" w:right="1440"/>
    </w:pPr>
    <w:rPr>
      <w:rFonts w:eastAsia="Times New Roman"/>
      <w:szCs w:val="20"/>
    </w:rPr>
  </w:style>
  <w:style w:type="paragraph" w:customStyle="1" w:styleId="20spLeft-Right15">
    <w:name w:val="_2.0sp Left-Right 1.5&quot;"/>
    <w:basedOn w:val="Normal"/>
    <w:rsid w:val="007138B1"/>
    <w:pPr>
      <w:suppressAutoHyphens/>
      <w:spacing w:line="480" w:lineRule="auto"/>
      <w:ind w:left="2160" w:right="2160"/>
    </w:pPr>
    <w:rPr>
      <w:rFonts w:eastAsia="Times New Roman"/>
      <w:szCs w:val="20"/>
    </w:rPr>
  </w:style>
  <w:style w:type="paragraph" w:customStyle="1" w:styleId="20spRightAligned">
    <w:name w:val="_2.0sp Right Aligned"/>
    <w:basedOn w:val="Normal"/>
    <w:rsid w:val="007138B1"/>
    <w:pPr>
      <w:suppressAutoHyphens/>
      <w:spacing w:line="480" w:lineRule="auto"/>
      <w:jc w:val="right"/>
    </w:pPr>
    <w:rPr>
      <w:rFonts w:eastAsia="Times New Roman"/>
      <w:szCs w:val="20"/>
    </w:rPr>
  </w:style>
  <w:style w:type="paragraph" w:customStyle="1" w:styleId="AffirmativeDefense">
    <w:name w:val="_Affirmative Defense"/>
    <w:basedOn w:val="Normal0"/>
    <w:next w:val="Normal"/>
    <w:rsid w:val="007138B1"/>
    <w:pPr>
      <w:spacing w:after="240" w:line="480" w:lineRule="exact"/>
      <w:jc w:val="center"/>
    </w:pPr>
    <w:rPr>
      <w:b/>
      <w:u w:val="single"/>
    </w:rPr>
  </w:style>
  <w:style w:type="paragraph" w:customStyle="1" w:styleId="CustomHeading1">
    <w:name w:val="_Custom Heading 1"/>
    <w:basedOn w:val="Normal"/>
    <w:rsid w:val="007138B1"/>
    <w:pPr>
      <w:keepNext/>
      <w:keepLines/>
      <w:suppressAutoHyphens/>
      <w:spacing w:after="240"/>
      <w:jc w:val="center"/>
    </w:pPr>
    <w:rPr>
      <w:rFonts w:eastAsia="Times New Roman"/>
      <w:szCs w:val="20"/>
    </w:rPr>
  </w:style>
  <w:style w:type="paragraph" w:customStyle="1" w:styleId="CustomHeading2">
    <w:name w:val="_Custom Heading 2"/>
    <w:basedOn w:val="Normal"/>
    <w:rsid w:val="007138B1"/>
    <w:pPr>
      <w:keepNext/>
      <w:keepLines/>
      <w:suppressAutoHyphens/>
      <w:spacing w:after="240"/>
      <w:jc w:val="center"/>
    </w:pPr>
    <w:rPr>
      <w:rFonts w:eastAsia="Times New Roman"/>
      <w:szCs w:val="20"/>
    </w:rPr>
  </w:style>
  <w:style w:type="paragraph" w:customStyle="1" w:styleId="CustomHeading3">
    <w:name w:val="_Custom Heading 3"/>
    <w:basedOn w:val="Normal"/>
    <w:rsid w:val="007138B1"/>
    <w:pPr>
      <w:keepNext/>
      <w:keepLines/>
      <w:suppressAutoHyphens/>
      <w:spacing w:after="240"/>
      <w:jc w:val="center"/>
    </w:pPr>
    <w:rPr>
      <w:rFonts w:eastAsia="Times New Roman"/>
      <w:szCs w:val="20"/>
    </w:rPr>
  </w:style>
  <w:style w:type="paragraph" w:customStyle="1" w:styleId="CustomHeading4">
    <w:name w:val="_Custom Heading 4"/>
    <w:basedOn w:val="Normal"/>
    <w:rsid w:val="007138B1"/>
    <w:pPr>
      <w:keepNext/>
      <w:keepLines/>
      <w:suppressAutoHyphens/>
      <w:spacing w:after="240"/>
      <w:jc w:val="center"/>
    </w:pPr>
    <w:rPr>
      <w:rFonts w:eastAsia="Times New Roman"/>
      <w:szCs w:val="20"/>
    </w:rPr>
  </w:style>
  <w:style w:type="paragraph" w:customStyle="1" w:styleId="CustomHeading5">
    <w:name w:val="_Custom Heading 5"/>
    <w:basedOn w:val="Normal"/>
    <w:rsid w:val="007138B1"/>
    <w:pPr>
      <w:keepNext/>
      <w:keepLines/>
      <w:suppressAutoHyphens/>
      <w:spacing w:after="240"/>
      <w:jc w:val="center"/>
    </w:pPr>
    <w:rPr>
      <w:rFonts w:eastAsia="Times New Roman"/>
      <w:szCs w:val="20"/>
    </w:rPr>
  </w:style>
  <w:style w:type="paragraph" w:customStyle="1" w:styleId="CustomHeading6">
    <w:name w:val="_Custom Heading 6"/>
    <w:basedOn w:val="Normal"/>
    <w:rsid w:val="007138B1"/>
    <w:pPr>
      <w:keepNext/>
      <w:keepLines/>
      <w:suppressAutoHyphens/>
      <w:spacing w:after="240"/>
      <w:jc w:val="center"/>
    </w:pPr>
    <w:rPr>
      <w:rFonts w:eastAsia="Times New Roman"/>
      <w:szCs w:val="20"/>
    </w:rPr>
  </w:style>
  <w:style w:type="paragraph" w:customStyle="1" w:styleId="CustomParagraph1">
    <w:name w:val="_Custom Paragraph 1"/>
    <w:basedOn w:val="Normal"/>
    <w:rsid w:val="007138B1"/>
    <w:pPr>
      <w:suppressAutoHyphens/>
      <w:spacing w:after="240"/>
    </w:pPr>
    <w:rPr>
      <w:rFonts w:eastAsia="Times New Roman"/>
      <w:szCs w:val="20"/>
    </w:rPr>
  </w:style>
  <w:style w:type="paragraph" w:customStyle="1" w:styleId="CustomParagraph2">
    <w:name w:val="_Custom Paragraph 2"/>
    <w:basedOn w:val="Normal"/>
    <w:rsid w:val="007138B1"/>
    <w:pPr>
      <w:suppressAutoHyphens/>
      <w:spacing w:after="240"/>
    </w:pPr>
    <w:rPr>
      <w:rFonts w:eastAsia="Times New Roman"/>
      <w:szCs w:val="20"/>
    </w:rPr>
  </w:style>
  <w:style w:type="paragraph" w:customStyle="1" w:styleId="CustomParagraph3">
    <w:name w:val="_Custom Paragraph 3"/>
    <w:basedOn w:val="Normal"/>
    <w:rsid w:val="007138B1"/>
    <w:pPr>
      <w:suppressAutoHyphens/>
      <w:spacing w:after="240"/>
    </w:pPr>
    <w:rPr>
      <w:rFonts w:eastAsia="Times New Roman"/>
      <w:szCs w:val="20"/>
    </w:rPr>
  </w:style>
  <w:style w:type="paragraph" w:customStyle="1" w:styleId="CustomParagraph4">
    <w:name w:val="_Custom Paragraph 4"/>
    <w:basedOn w:val="Normal"/>
    <w:rsid w:val="007138B1"/>
    <w:pPr>
      <w:suppressAutoHyphens/>
      <w:spacing w:after="240"/>
    </w:pPr>
    <w:rPr>
      <w:rFonts w:eastAsia="Times New Roman"/>
      <w:szCs w:val="20"/>
    </w:rPr>
  </w:style>
  <w:style w:type="paragraph" w:customStyle="1" w:styleId="CustomParagraph5">
    <w:name w:val="_Custom Paragraph 5"/>
    <w:basedOn w:val="Normal"/>
    <w:rsid w:val="007138B1"/>
    <w:pPr>
      <w:suppressAutoHyphens/>
      <w:spacing w:after="240"/>
    </w:pPr>
    <w:rPr>
      <w:rFonts w:eastAsia="Times New Roman"/>
      <w:szCs w:val="20"/>
    </w:rPr>
  </w:style>
  <w:style w:type="paragraph" w:customStyle="1" w:styleId="CustomParagraph6">
    <w:name w:val="_Custom Paragraph 6"/>
    <w:basedOn w:val="Normal"/>
    <w:rsid w:val="007138B1"/>
    <w:pPr>
      <w:suppressAutoHyphens/>
      <w:spacing w:after="240"/>
    </w:pPr>
    <w:rPr>
      <w:rFonts w:eastAsia="Times New Roman"/>
      <w:szCs w:val="20"/>
    </w:rPr>
  </w:style>
  <w:style w:type="paragraph" w:customStyle="1" w:styleId="Discovery">
    <w:name w:val="_Discovery"/>
    <w:basedOn w:val="Normal0"/>
    <w:rsid w:val="007138B1"/>
    <w:pPr>
      <w:spacing w:after="240" w:line="240" w:lineRule="exact"/>
      <w:ind w:left="2880" w:right="720" w:hanging="2160"/>
    </w:pPr>
  </w:style>
  <w:style w:type="paragraph" w:customStyle="1" w:styleId="HdgCenterBold">
    <w:name w:val="_Hdg Center Bold"/>
    <w:aliases w:val="t4"/>
    <w:basedOn w:val="Normal"/>
    <w:next w:val="Normal"/>
    <w:rsid w:val="007138B1"/>
    <w:pPr>
      <w:keepNext/>
      <w:keepLines/>
      <w:suppressAutoHyphens/>
      <w:spacing w:after="240"/>
      <w:jc w:val="center"/>
    </w:pPr>
    <w:rPr>
      <w:rFonts w:eastAsia="Times New Roman"/>
      <w:b/>
      <w:szCs w:val="20"/>
    </w:rPr>
  </w:style>
  <w:style w:type="paragraph" w:customStyle="1" w:styleId="HdgCenterBold-Cap">
    <w:name w:val="_Hdg Center Bold-Cap"/>
    <w:aliases w:val="t3"/>
    <w:basedOn w:val="Normal"/>
    <w:next w:val="Normal"/>
    <w:rsid w:val="007138B1"/>
    <w:pPr>
      <w:spacing w:after="240"/>
      <w:jc w:val="center"/>
    </w:pPr>
    <w:rPr>
      <w:rFonts w:eastAsia="Times New Roman"/>
      <w:b/>
      <w:caps/>
      <w:szCs w:val="20"/>
    </w:rPr>
  </w:style>
  <w:style w:type="paragraph" w:customStyle="1" w:styleId="HdgCenterBold-Italic">
    <w:name w:val="_Hdg Center Bold-Italic"/>
    <w:basedOn w:val="Normal"/>
    <w:next w:val="Normal"/>
    <w:rsid w:val="007138B1"/>
    <w:pPr>
      <w:suppressAutoHyphens/>
      <w:spacing w:after="240"/>
      <w:jc w:val="center"/>
    </w:pPr>
    <w:rPr>
      <w:rFonts w:eastAsia="Times New Roman"/>
      <w:b/>
      <w:i/>
      <w:szCs w:val="20"/>
    </w:rPr>
  </w:style>
  <w:style w:type="paragraph" w:customStyle="1" w:styleId="HdgCenterBold-Und">
    <w:name w:val="_Hdg Center Bold-Und"/>
    <w:aliases w:val="t6"/>
    <w:basedOn w:val="Normal"/>
    <w:next w:val="Normal"/>
    <w:rsid w:val="007138B1"/>
    <w:pPr>
      <w:keepNext/>
      <w:keepLines/>
      <w:suppressAutoHyphens/>
      <w:spacing w:after="240"/>
      <w:jc w:val="center"/>
    </w:pPr>
    <w:rPr>
      <w:rFonts w:eastAsia="Times New Roman"/>
      <w:b/>
      <w:szCs w:val="20"/>
      <w:u w:val="single"/>
    </w:rPr>
  </w:style>
  <w:style w:type="paragraph" w:customStyle="1" w:styleId="HdgCenterBold-Und-CAP">
    <w:name w:val="_Hdg Center Bold-Und-CAP"/>
    <w:aliases w:val="t5"/>
    <w:basedOn w:val="Normal"/>
    <w:next w:val="Normal"/>
    <w:rsid w:val="007138B1"/>
    <w:pPr>
      <w:spacing w:after="240"/>
      <w:jc w:val="center"/>
    </w:pPr>
    <w:rPr>
      <w:rFonts w:eastAsia="Times New Roman"/>
      <w:b/>
      <w:caps/>
      <w:szCs w:val="20"/>
      <w:u w:val="single"/>
    </w:rPr>
  </w:style>
  <w:style w:type="paragraph" w:customStyle="1" w:styleId="HdgCenterBold-Und-Italic">
    <w:name w:val="_Hdg Center Bold-Und-Italic"/>
    <w:basedOn w:val="Normal"/>
    <w:next w:val="Normal"/>
    <w:rsid w:val="007138B1"/>
    <w:pPr>
      <w:suppressAutoHyphens/>
      <w:spacing w:after="240"/>
      <w:jc w:val="center"/>
    </w:pPr>
    <w:rPr>
      <w:rFonts w:eastAsia="Times New Roman"/>
      <w:b/>
      <w:i/>
      <w:szCs w:val="20"/>
      <w:u w:val="single"/>
    </w:rPr>
  </w:style>
  <w:style w:type="paragraph" w:customStyle="1" w:styleId="HdgCenterCap">
    <w:name w:val="_Hdg Center Cap"/>
    <w:aliases w:val="t1"/>
    <w:basedOn w:val="Normal"/>
    <w:next w:val="Normal"/>
    <w:rsid w:val="007138B1"/>
    <w:pPr>
      <w:spacing w:after="240"/>
      <w:jc w:val="center"/>
    </w:pPr>
    <w:rPr>
      <w:rFonts w:eastAsia="Times New Roman"/>
      <w:caps/>
      <w:szCs w:val="20"/>
    </w:rPr>
  </w:style>
  <w:style w:type="paragraph" w:customStyle="1" w:styleId="HdgCenterItalic">
    <w:name w:val="_Hdg Center Italic"/>
    <w:basedOn w:val="Normal"/>
    <w:next w:val="Normal"/>
    <w:rsid w:val="007138B1"/>
    <w:pPr>
      <w:suppressAutoHyphens/>
      <w:spacing w:after="240"/>
      <w:jc w:val="center"/>
    </w:pPr>
    <w:rPr>
      <w:rFonts w:eastAsia="Times New Roman"/>
      <w:i/>
      <w:szCs w:val="20"/>
    </w:rPr>
  </w:style>
  <w:style w:type="paragraph" w:customStyle="1" w:styleId="HdgCenterUnd">
    <w:name w:val="_Hdg Center Und"/>
    <w:basedOn w:val="Normal"/>
    <w:next w:val="Normal"/>
    <w:rsid w:val="007138B1"/>
    <w:pPr>
      <w:keepNext/>
      <w:keepLines/>
      <w:suppressAutoHyphens/>
      <w:spacing w:after="240"/>
      <w:jc w:val="center"/>
    </w:pPr>
    <w:rPr>
      <w:rFonts w:eastAsia="Times New Roman"/>
      <w:szCs w:val="20"/>
      <w:u w:val="single"/>
    </w:rPr>
  </w:style>
  <w:style w:type="paragraph" w:customStyle="1" w:styleId="HdgCenter">
    <w:name w:val="_Hdg Center"/>
    <w:aliases w:val="t2"/>
    <w:basedOn w:val="Normal"/>
    <w:next w:val="Normal"/>
    <w:rsid w:val="007138B1"/>
    <w:pPr>
      <w:keepNext/>
      <w:keepLines/>
      <w:suppressAutoHyphens/>
      <w:spacing w:after="240"/>
      <w:jc w:val="center"/>
    </w:pPr>
    <w:rPr>
      <w:rFonts w:eastAsia="Times New Roman"/>
      <w:szCs w:val="20"/>
    </w:rPr>
  </w:style>
  <w:style w:type="paragraph" w:customStyle="1" w:styleId="HdgLeft">
    <w:name w:val="_Hdg Left"/>
    <w:basedOn w:val="Normal"/>
    <w:next w:val="Normal"/>
    <w:rsid w:val="007138B1"/>
    <w:pPr>
      <w:keepNext/>
      <w:keepLines/>
      <w:suppressAutoHyphens/>
      <w:spacing w:after="240"/>
    </w:pPr>
    <w:rPr>
      <w:rFonts w:eastAsia="Times New Roman"/>
      <w:szCs w:val="20"/>
    </w:rPr>
  </w:style>
  <w:style w:type="paragraph" w:customStyle="1" w:styleId="HdgLeftBold">
    <w:name w:val="_Hdg Left Bold"/>
    <w:aliases w:val="t8"/>
    <w:basedOn w:val="Normal"/>
    <w:next w:val="Normal"/>
    <w:rsid w:val="007138B1"/>
    <w:pPr>
      <w:keepNext/>
      <w:keepLines/>
      <w:suppressAutoHyphens/>
      <w:spacing w:after="240"/>
    </w:pPr>
    <w:rPr>
      <w:rFonts w:eastAsia="Times New Roman"/>
      <w:b/>
      <w:szCs w:val="20"/>
    </w:rPr>
  </w:style>
  <w:style w:type="paragraph" w:customStyle="1" w:styleId="HdgLeftBold-CAP">
    <w:name w:val="_Hdg Left Bold-CAP"/>
    <w:aliases w:val="t7"/>
    <w:basedOn w:val="Normal"/>
    <w:next w:val="Normal"/>
    <w:rsid w:val="007138B1"/>
    <w:pPr>
      <w:spacing w:after="240"/>
    </w:pPr>
    <w:rPr>
      <w:rFonts w:eastAsia="Times New Roman"/>
      <w:b/>
      <w:caps/>
      <w:szCs w:val="20"/>
    </w:rPr>
  </w:style>
  <w:style w:type="paragraph" w:customStyle="1" w:styleId="HdgLeftBold-Italic">
    <w:name w:val="_Hdg Left Bold-Italic"/>
    <w:basedOn w:val="Normal"/>
    <w:next w:val="Normal"/>
    <w:rsid w:val="007138B1"/>
    <w:pPr>
      <w:suppressAutoHyphens/>
      <w:spacing w:after="240"/>
    </w:pPr>
    <w:rPr>
      <w:rFonts w:eastAsia="Times New Roman"/>
      <w:b/>
      <w:i/>
      <w:szCs w:val="20"/>
    </w:rPr>
  </w:style>
  <w:style w:type="paragraph" w:customStyle="1" w:styleId="HdgLeftBold-Und">
    <w:name w:val="_Hdg Left Bold-Und"/>
    <w:aliases w:val="t10"/>
    <w:basedOn w:val="Normal"/>
    <w:next w:val="Normal"/>
    <w:rsid w:val="007138B1"/>
    <w:pPr>
      <w:keepNext/>
      <w:keepLines/>
      <w:suppressAutoHyphens/>
      <w:spacing w:after="240"/>
    </w:pPr>
    <w:rPr>
      <w:rFonts w:eastAsia="Times New Roman"/>
      <w:b/>
      <w:szCs w:val="20"/>
      <w:u w:val="single"/>
    </w:rPr>
  </w:style>
  <w:style w:type="paragraph" w:customStyle="1" w:styleId="HdgLeftBold-Und-CAP">
    <w:name w:val="_Hdg Left Bold-Und-CAP"/>
    <w:aliases w:val="t9"/>
    <w:basedOn w:val="Normal"/>
    <w:next w:val="Normal"/>
    <w:rsid w:val="007138B1"/>
    <w:pPr>
      <w:spacing w:after="240"/>
    </w:pPr>
    <w:rPr>
      <w:rFonts w:eastAsia="Times New Roman"/>
      <w:b/>
      <w:caps/>
      <w:szCs w:val="20"/>
      <w:u w:val="single"/>
    </w:rPr>
  </w:style>
  <w:style w:type="paragraph" w:customStyle="1" w:styleId="HdgLeftBold-Und-Italic">
    <w:name w:val="_Hdg Left Bold-Und-Italic"/>
    <w:basedOn w:val="Normal"/>
    <w:next w:val="Normal"/>
    <w:rsid w:val="007138B1"/>
    <w:pPr>
      <w:suppressAutoHyphens/>
      <w:spacing w:after="240"/>
    </w:pPr>
    <w:rPr>
      <w:rFonts w:eastAsia="Times New Roman"/>
      <w:b/>
      <w:i/>
      <w:szCs w:val="20"/>
      <w:u w:val="single"/>
    </w:rPr>
  </w:style>
  <w:style w:type="paragraph" w:customStyle="1" w:styleId="HdgLeftItalic">
    <w:name w:val="_Hdg Left Italic"/>
    <w:basedOn w:val="Normal"/>
    <w:next w:val="Normal"/>
    <w:rsid w:val="007138B1"/>
    <w:pPr>
      <w:suppressAutoHyphens/>
      <w:spacing w:after="240"/>
    </w:pPr>
    <w:rPr>
      <w:rFonts w:eastAsia="Times New Roman"/>
      <w:i/>
      <w:szCs w:val="20"/>
    </w:rPr>
  </w:style>
  <w:style w:type="paragraph" w:customStyle="1" w:styleId="HdgLeftUnd">
    <w:name w:val="_Hdg Left Und"/>
    <w:basedOn w:val="Normal"/>
    <w:next w:val="Normal"/>
    <w:rsid w:val="007138B1"/>
    <w:pPr>
      <w:keepNext/>
      <w:keepLines/>
      <w:suppressAutoHyphens/>
      <w:spacing w:after="240"/>
    </w:pPr>
    <w:rPr>
      <w:rFonts w:eastAsia="Times New Roman"/>
      <w:szCs w:val="20"/>
      <w:u w:val="single"/>
    </w:rPr>
  </w:style>
  <w:style w:type="paragraph" w:customStyle="1" w:styleId="HdgRight">
    <w:name w:val="_Hdg Right"/>
    <w:basedOn w:val="Normal"/>
    <w:next w:val="Normal"/>
    <w:rsid w:val="007138B1"/>
    <w:pPr>
      <w:suppressAutoHyphens/>
      <w:spacing w:after="240"/>
      <w:jc w:val="right"/>
    </w:pPr>
    <w:rPr>
      <w:rFonts w:eastAsia="Times New Roman"/>
      <w:szCs w:val="20"/>
    </w:rPr>
  </w:style>
  <w:style w:type="paragraph" w:customStyle="1" w:styleId="HdgRightBold">
    <w:name w:val="_Hdg Right Bold"/>
    <w:basedOn w:val="Normal"/>
    <w:next w:val="Normal"/>
    <w:rsid w:val="007138B1"/>
    <w:pPr>
      <w:suppressAutoHyphens/>
      <w:spacing w:after="240"/>
      <w:jc w:val="right"/>
    </w:pPr>
    <w:rPr>
      <w:rFonts w:eastAsia="Times New Roman"/>
      <w:b/>
      <w:szCs w:val="20"/>
    </w:rPr>
  </w:style>
  <w:style w:type="paragraph" w:customStyle="1" w:styleId="HdgRightBold-Italic">
    <w:name w:val="_Hdg Right Bold-Italic"/>
    <w:basedOn w:val="Normal"/>
    <w:next w:val="Normal"/>
    <w:rsid w:val="007138B1"/>
    <w:pPr>
      <w:suppressAutoHyphens/>
      <w:spacing w:after="240"/>
      <w:jc w:val="right"/>
    </w:pPr>
    <w:rPr>
      <w:rFonts w:eastAsia="Times New Roman"/>
      <w:b/>
      <w:i/>
      <w:szCs w:val="20"/>
    </w:rPr>
  </w:style>
  <w:style w:type="paragraph" w:customStyle="1" w:styleId="HdgRightBold-Und">
    <w:name w:val="_Hdg Right Bold-Und"/>
    <w:basedOn w:val="Normal"/>
    <w:next w:val="Normal"/>
    <w:rsid w:val="007138B1"/>
    <w:pPr>
      <w:suppressAutoHyphens/>
      <w:spacing w:after="240"/>
      <w:jc w:val="right"/>
    </w:pPr>
    <w:rPr>
      <w:rFonts w:eastAsia="Times New Roman"/>
      <w:b/>
      <w:szCs w:val="20"/>
      <w:u w:val="single"/>
    </w:rPr>
  </w:style>
  <w:style w:type="paragraph" w:customStyle="1" w:styleId="HdgRightBold-Und-Italic">
    <w:name w:val="_Hdg Right Bold-Und-Italic"/>
    <w:basedOn w:val="Normal"/>
    <w:next w:val="Normal"/>
    <w:rsid w:val="007138B1"/>
    <w:pPr>
      <w:suppressAutoHyphens/>
      <w:spacing w:after="240"/>
      <w:jc w:val="right"/>
    </w:pPr>
    <w:rPr>
      <w:rFonts w:eastAsia="Times New Roman"/>
      <w:b/>
      <w:i/>
      <w:szCs w:val="20"/>
      <w:u w:val="single"/>
    </w:rPr>
  </w:style>
  <w:style w:type="paragraph" w:customStyle="1" w:styleId="HdgRightItalic">
    <w:name w:val="_Hdg Right Italic"/>
    <w:basedOn w:val="Normal"/>
    <w:next w:val="Normal"/>
    <w:rsid w:val="007138B1"/>
    <w:pPr>
      <w:suppressAutoHyphens/>
      <w:spacing w:after="240"/>
      <w:jc w:val="right"/>
    </w:pPr>
    <w:rPr>
      <w:rFonts w:eastAsia="Times New Roman"/>
      <w:i/>
      <w:szCs w:val="20"/>
    </w:rPr>
  </w:style>
  <w:style w:type="paragraph" w:customStyle="1" w:styleId="HdgRightUnd">
    <w:name w:val="_Hdg Right Und"/>
    <w:basedOn w:val="Normal"/>
    <w:next w:val="Normal"/>
    <w:rsid w:val="007138B1"/>
    <w:pPr>
      <w:suppressAutoHyphens/>
      <w:spacing w:after="240"/>
      <w:jc w:val="right"/>
    </w:pPr>
    <w:rPr>
      <w:rFonts w:eastAsia="Times New Roman"/>
      <w:szCs w:val="20"/>
      <w:u w:val="single"/>
    </w:rPr>
  </w:style>
  <w:style w:type="paragraph" w:customStyle="1" w:styleId="Index">
    <w:name w:val="_Index"/>
    <w:basedOn w:val="Normal"/>
    <w:rsid w:val="007138B1"/>
    <w:pPr>
      <w:tabs>
        <w:tab w:val="right" w:pos="9360"/>
      </w:tabs>
      <w:suppressAutoHyphens/>
    </w:pPr>
    <w:rPr>
      <w:rFonts w:eastAsia="Times New Roman"/>
      <w:szCs w:val="20"/>
    </w:rPr>
  </w:style>
  <w:style w:type="paragraph" w:customStyle="1" w:styleId="MWsig">
    <w:name w:val="_MWsig"/>
    <w:aliases w:val="sig"/>
    <w:basedOn w:val="Normal"/>
    <w:next w:val="Normal"/>
    <w:rsid w:val="007138B1"/>
    <w:pPr>
      <w:keepNext/>
      <w:suppressAutoHyphens/>
      <w:spacing w:before="120" w:after="240"/>
    </w:pPr>
    <w:rPr>
      <w:rFonts w:ascii="Arial" w:eastAsia="Times New Roman" w:hAnsi="Arial" w:cs="Arial"/>
    </w:rPr>
  </w:style>
  <w:style w:type="paragraph" w:customStyle="1" w:styleId="MWsigFP">
    <w:name w:val="_MWsigFP"/>
    <w:aliases w:val="sfp"/>
    <w:basedOn w:val="Normal"/>
    <w:next w:val="Normal"/>
    <w:rsid w:val="007138B1"/>
    <w:pPr>
      <w:suppressAutoHyphens/>
      <w:spacing w:before="720"/>
    </w:pPr>
    <w:rPr>
      <w:rFonts w:ascii="Arial" w:eastAsia="Times New Roman" w:hAnsi="Arial" w:cs="Arial"/>
      <w:szCs w:val="20"/>
    </w:rPr>
  </w:style>
  <w:style w:type="paragraph" w:customStyle="1" w:styleId="MWsigFP2">
    <w:name w:val="_MWsigFP2"/>
    <w:basedOn w:val="Normal"/>
    <w:rsid w:val="007138B1"/>
    <w:pPr>
      <w:suppressAutoHyphens/>
      <w:spacing w:after="240"/>
    </w:pPr>
    <w:rPr>
      <w:rFonts w:ascii="Arial" w:eastAsia="Times New Roman" w:hAnsi="Arial" w:cs="Arial"/>
      <w:szCs w:val="20"/>
    </w:rPr>
  </w:style>
  <w:style w:type="paragraph" w:customStyle="1" w:styleId="RightFax">
    <w:name w:val="_RightFax"/>
    <w:basedOn w:val="Normal"/>
    <w:next w:val="Normal"/>
    <w:rsid w:val="007138B1"/>
    <w:rPr>
      <w:rFonts w:ascii="Courier" w:eastAsia="Times New Roman" w:hAnsi="Courier"/>
    </w:rPr>
  </w:style>
  <w:style w:type="paragraph" w:customStyle="1" w:styleId="TableHeadingCentered">
    <w:name w:val="_Table Heading Centered"/>
    <w:basedOn w:val="Normal"/>
    <w:rsid w:val="007138B1"/>
    <w:pPr>
      <w:keepNext/>
      <w:keepLines/>
      <w:suppressAutoHyphens/>
      <w:jc w:val="center"/>
    </w:pPr>
    <w:rPr>
      <w:rFonts w:eastAsia="Times New Roman"/>
      <w:b/>
      <w:szCs w:val="20"/>
    </w:rPr>
  </w:style>
  <w:style w:type="paragraph" w:customStyle="1" w:styleId="TableHeadingLeft">
    <w:name w:val="_Table Heading Left"/>
    <w:basedOn w:val="Normal"/>
    <w:rsid w:val="007138B1"/>
    <w:pPr>
      <w:keepNext/>
      <w:keepLines/>
      <w:suppressAutoHyphens/>
    </w:pPr>
    <w:rPr>
      <w:rFonts w:eastAsia="Times New Roman"/>
      <w:b/>
      <w:szCs w:val="20"/>
    </w:rPr>
  </w:style>
  <w:style w:type="paragraph" w:customStyle="1" w:styleId="TableHeadingRight">
    <w:name w:val="_Table Heading Right"/>
    <w:basedOn w:val="Normal"/>
    <w:rsid w:val="007138B1"/>
    <w:pPr>
      <w:keepNext/>
      <w:keepLines/>
      <w:suppressAutoHyphens/>
      <w:jc w:val="right"/>
    </w:pPr>
    <w:rPr>
      <w:rFonts w:eastAsia="Times New Roman"/>
      <w:b/>
      <w:szCs w:val="20"/>
    </w:rPr>
  </w:style>
  <w:style w:type="paragraph" w:customStyle="1" w:styleId="TableLeftAlign">
    <w:name w:val="_Table Left Align"/>
    <w:basedOn w:val="Normal"/>
    <w:rsid w:val="007138B1"/>
    <w:pPr>
      <w:suppressAutoHyphens/>
    </w:pPr>
    <w:rPr>
      <w:rFonts w:eastAsia="Times New Roman"/>
      <w:szCs w:val="20"/>
    </w:rPr>
  </w:style>
  <w:style w:type="paragraph" w:customStyle="1" w:styleId="TableRightAlign">
    <w:name w:val="_Table Right Align"/>
    <w:basedOn w:val="Normal"/>
    <w:rsid w:val="007138B1"/>
    <w:pPr>
      <w:suppressAutoHyphens/>
      <w:jc w:val="right"/>
    </w:pPr>
    <w:rPr>
      <w:rFonts w:eastAsia="Times New Roman"/>
      <w:szCs w:val="20"/>
    </w:rPr>
  </w:style>
  <w:style w:type="character" w:customStyle="1" w:styleId="Heading1Char">
    <w:name w:val="Heading 1 Char"/>
    <w:basedOn w:val="DefaultParagraphFont"/>
    <w:link w:val="Heading1"/>
    <w:uiPriority w:val="39"/>
    <w:rsid w:val="00A746F1"/>
    <w:rPr>
      <w:rFonts w:eastAsia="Times New Roman"/>
      <w:b/>
      <w:bCs/>
      <w:sz w:val="24"/>
      <w:szCs w:val="28"/>
    </w:rPr>
  </w:style>
  <w:style w:type="character" w:customStyle="1" w:styleId="Heading2Char">
    <w:name w:val="Heading 2 Char"/>
    <w:basedOn w:val="DefaultParagraphFont"/>
    <w:link w:val="Heading2"/>
    <w:uiPriority w:val="39"/>
    <w:semiHidden/>
    <w:rsid w:val="00A746F1"/>
    <w:rPr>
      <w:rFonts w:eastAsia="Times New Roman"/>
      <w:b/>
      <w:bCs/>
      <w:sz w:val="24"/>
      <w:szCs w:val="26"/>
    </w:rPr>
  </w:style>
  <w:style w:type="character" w:customStyle="1" w:styleId="Heading3Char">
    <w:name w:val="Heading 3 Char"/>
    <w:basedOn w:val="DefaultParagraphFont"/>
    <w:link w:val="Heading3"/>
    <w:uiPriority w:val="39"/>
    <w:semiHidden/>
    <w:rsid w:val="00A746F1"/>
    <w:rPr>
      <w:rFonts w:eastAsia="Times New Roman"/>
      <w:b/>
      <w:bCs/>
      <w:sz w:val="24"/>
      <w:szCs w:val="24"/>
    </w:rPr>
  </w:style>
  <w:style w:type="character" w:customStyle="1" w:styleId="Heading4Char">
    <w:name w:val="Heading 4 Char"/>
    <w:basedOn w:val="DefaultParagraphFont"/>
    <w:link w:val="Heading4"/>
    <w:uiPriority w:val="39"/>
    <w:semiHidden/>
    <w:rsid w:val="00A746F1"/>
    <w:rPr>
      <w:rFonts w:eastAsia="Times New Roman"/>
      <w:b/>
      <w:bCs/>
      <w:i/>
      <w:iCs/>
      <w:sz w:val="24"/>
      <w:szCs w:val="24"/>
    </w:rPr>
  </w:style>
  <w:style w:type="character" w:customStyle="1" w:styleId="Heading5Char">
    <w:name w:val="Heading 5 Char"/>
    <w:basedOn w:val="DefaultParagraphFont"/>
    <w:link w:val="Heading5"/>
    <w:uiPriority w:val="39"/>
    <w:semiHidden/>
    <w:rsid w:val="00A746F1"/>
    <w:rPr>
      <w:rFonts w:eastAsia="Times New Roman"/>
      <w:sz w:val="24"/>
      <w:szCs w:val="24"/>
    </w:rPr>
  </w:style>
  <w:style w:type="character" w:customStyle="1" w:styleId="Heading6Char">
    <w:name w:val="Heading 6 Char"/>
    <w:basedOn w:val="DefaultParagraphFont"/>
    <w:link w:val="Heading6"/>
    <w:uiPriority w:val="39"/>
    <w:semiHidden/>
    <w:rsid w:val="00A746F1"/>
    <w:rPr>
      <w:rFonts w:eastAsia="Times New Roman"/>
      <w:i/>
      <w:iCs/>
      <w:sz w:val="24"/>
      <w:szCs w:val="24"/>
    </w:rPr>
  </w:style>
  <w:style w:type="character" w:customStyle="1" w:styleId="Heading7Char">
    <w:name w:val="Heading 7 Char"/>
    <w:basedOn w:val="DefaultParagraphFont"/>
    <w:link w:val="Heading7"/>
    <w:uiPriority w:val="39"/>
    <w:semiHidden/>
    <w:rsid w:val="00A746F1"/>
    <w:rPr>
      <w:rFonts w:eastAsia="Times New Roman"/>
      <w:i/>
      <w:iCs/>
      <w:sz w:val="24"/>
      <w:szCs w:val="24"/>
    </w:rPr>
  </w:style>
  <w:style w:type="character" w:customStyle="1" w:styleId="Heading8Char">
    <w:name w:val="Heading 8 Char"/>
    <w:basedOn w:val="DefaultParagraphFont"/>
    <w:link w:val="Heading8"/>
    <w:uiPriority w:val="39"/>
    <w:semiHidden/>
    <w:rsid w:val="00A746F1"/>
    <w:rPr>
      <w:rFonts w:eastAsia="Times New Roman"/>
      <w:sz w:val="24"/>
    </w:rPr>
  </w:style>
  <w:style w:type="character" w:customStyle="1" w:styleId="Heading9Char">
    <w:name w:val="Heading 9 Char"/>
    <w:basedOn w:val="DefaultParagraphFont"/>
    <w:link w:val="Heading9"/>
    <w:uiPriority w:val="39"/>
    <w:semiHidden/>
    <w:rsid w:val="00A746F1"/>
    <w:rPr>
      <w:rFonts w:eastAsia="Times New Roman"/>
      <w:i/>
      <w:iCs/>
      <w:sz w:val="24"/>
    </w:rPr>
  </w:style>
  <w:style w:type="paragraph" w:customStyle="1" w:styleId="15Line0">
    <w:name w:val="1.5 Line 0&quot;"/>
    <w:basedOn w:val="Normal"/>
    <w:uiPriority w:val="2"/>
    <w:qFormat/>
    <w:rsid w:val="00A746F1"/>
    <w:pPr>
      <w:suppressAutoHyphens/>
      <w:spacing w:after="240" w:line="360" w:lineRule="auto"/>
    </w:pPr>
    <w:rPr>
      <w:rFonts w:eastAsia="Times New Roman"/>
      <w:szCs w:val="20"/>
    </w:rPr>
  </w:style>
  <w:style w:type="paragraph" w:customStyle="1" w:styleId="15Line05">
    <w:name w:val="1.5 Line 0.5&quot;"/>
    <w:basedOn w:val="Normal"/>
    <w:uiPriority w:val="5"/>
    <w:qFormat/>
    <w:rsid w:val="00A746F1"/>
    <w:pPr>
      <w:suppressAutoHyphens/>
      <w:spacing w:after="240" w:line="360" w:lineRule="auto"/>
      <w:ind w:firstLine="720"/>
    </w:pPr>
    <w:rPr>
      <w:rFonts w:eastAsia="Times New Roman"/>
      <w:szCs w:val="20"/>
    </w:rPr>
  </w:style>
  <w:style w:type="paragraph" w:customStyle="1" w:styleId="15Line1">
    <w:name w:val="1.5 Line 1&quot;"/>
    <w:basedOn w:val="Normal"/>
    <w:uiPriority w:val="8"/>
    <w:qFormat/>
    <w:rsid w:val="00A746F1"/>
    <w:pPr>
      <w:suppressAutoHyphens/>
      <w:spacing w:after="240" w:line="360" w:lineRule="auto"/>
      <w:ind w:firstLine="1440"/>
    </w:pPr>
    <w:rPr>
      <w:rFonts w:eastAsia="Times New Roman"/>
      <w:szCs w:val="20"/>
    </w:rPr>
  </w:style>
  <w:style w:type="paragraph" w:customStyle="1" w:styleId="15Line15">
    <w:name w:val="1.5 Line 1.5&quot;"/>
    <w:basedOn w:val="Normal"/>
    <w:uiPriority w:val="11"/>
    <w:rsid w:val="00A746F1"/>
    <w:pPr>
      <w:suppressAutoHyphens/>
      <w:spacing w:line="360" w:lineRule="auto"/>
      <w:ind w:firstLine="2160"/>
    </w:pPr>
    <w:rPr>
      <w:rFonts w:eastAsia="Times New Roman"/>
      <w:szCs w:val="20"/>
    </w:rPr>
  </w:style>
  <w:style w:type="paragraph" w:customStyle="1" w:styleId="15LineHanging05">
    <w:name w:val="1.5 Line Hanging 0.5&quot;"/>
    <w:basedOn w:val="Normal"/>
    <w:uiPriority w:val="17"/>
    <w:rsid w:val="00A746F1"/>
    <w:pPr>
      <w:suppressAutoHyphens/>
      <w:spacing w:line="360" w:lineRule="auto"/>
      <w:ind w:left="720" w:hanging="720"/>
    </w:pPr>
    <w:rPr>
      <w:rFonts w:eastAsia="Times New Roman"/>
      <w:szCs w:val="20"/>
    </w:rPr>
  </w:style>
  <w:style w:type="paragraph" w:customStyle="1" w:styleId="15LineHanging1">
    <w:name w:val="1.5 Line Hanging 1&quot;"/>
    <w:basedOn w:val="Normal"/>
    <w:uiPriority w:val="17"/>
    <w:rsid w:val="00A746F1"/>
    <w:pPr>
      <w:suppressAutoHyphens/>
      <w:spacing w:line="360" w:lineRule="auto"/>
      <w:ind w:left="1440" w:hanging="720"/>
    </w:pPr>
    <w:rPr>
      <w:rFonts w:eastAsia="Times New Roman"/>
      <w:szCs w:val="20"/>
    </w:rPr>
  </w:style>
  <w:style w:type="paragraph" w:customStyle="1" w:styleId="15LineHanging15">
    <w:name w:val="1.5 Line Hanging 1.5&quot;"/>
    <w:basedOn w:val="Normal"/>
    <w:uiPriority w:val="17"/>
    <w:rsid w:val="00A746F1"/>
    <w:pPr>
      <w:suppressAutoHyphens/>
      <w:spacing w:line="360" w:lineRule="auto"/>
      <w:ind w:left="2160" w:hanging="720"/>
    </w:pPr>
    <w:rPr>
      <w:rFonts w:eastAsia="Times New Roman"/>
      <w:szCs w:val="20"/>
    </w:rPr>
  </w:style>
  <w:style w:type="paragraph" w:customStyle="1" w:styleId="15LineInd05">
    <w:name w:val="1.5 Line Ind 0.5&quot;"/>
    <w:basedOn w:val="Normal"/>
    <w:uiPriority w:val="17"/>
    <w:rsid w:val="00A746F1"/>
    <w:pPr>
      <w:suppressAutoHyphens/>
      <w:spacing w:line="360" w:lineRule="auto"/>
      <w:ind w:left="720"/>
    </w:pPr>
    <w:rPr>
      <w:rFonts w:eastAsia="Times New Roman"/>
      <w:szCs w:val="20"/>
    </w:rPr>
  </w:style>
  <w:style w:type="paragraph" w:customStyle="1" w:styleId="15LineInd1">
    <w:name w:val="1.5 Line Ind 1&quot;"/>
    <w:basedOn w:val="Normal"/>
    <w:uiPriority w:val="17"/>
    <w:rsid w:val="00A746F1"/>
    <w:pPr>
      <w:suppressAutoHyphens/>
      <w:spacing w:after="240" w:line="360" w:lineRule="auto"/>
      <w:ind w:left="1440"/>
    </w:pPr>
    <w:rPr>
      <w:rFonts w:eastAsia="Times New Roman"/>
      <w:szCs w:val="20"/>
    </w:rPr>
  </w:style>
  <w:style w:type="paragraph" w:customStyle="1" w:styleId="15LineInd15">
    <w:name w:val="1.5 Line Ind 1.5&quot;"/>
    <w:basedOn w:val="Normal"/>
    <w:uiPriority w:val="17"/>
    <w:rsid w:val="00A746F1"/>
    <w:pPr>
      <w:suppressAutoHyphens/>
      <w:spacing w:line="360" w:lineRule="auto"/>
      <w:ind w:left="2160"/>
    </w:pPr>
    <w:rPr>
      <w:rFonts w:eastAsia="Times New Roman"/>
      <w:szCs w:val="20"/>
    </w:rPr>
  </w:style>
  <w:style w:type="paragraph" w:customStyle="1" w:styleId="15LineLeft-Right1">
    <w:name w:val="1.5 Line Left-Right 1&quot;"/>
    <w:basedOn w:val="Normal"/>
    <w:uiPriority w:val="17"/>
    <w:qFormat/>
    <w:rsid w:val="00A746F1"/>
    <w:pPr>
      <w:suppressAutoHyphens/>
      <w:spacing w:after="240" w:line="360" w:lineRule="auto"/>
      <w:ind w:left="1440" w:right="1440"/>
    </w:pPr>
    <w:rPr>
      <w:rFonts w:eastAsia="Times New Roman"/>
      <w:szCs w:val="20"/>
    </w:rPr>
  </w:style>
  <w:style w:type="paragraph" w:customStyle="1" w:styleId="15LineLeft-Right15">
    <w:name w:val="1.5 Line Left-Right 1.5&quot;"/>
    <w:basedOn w:val="Normal"/>
    <w:uiPriority w:val="17"/>
    <w:rsid w:val="00A746F1"/>
    <w:pPr>
      <w:suppressAutoHyphens/>
      <w:spacing w:line="360" w:lineRule="auto"/>
      <w:ind w:left="2160" w:right="2160"/>
    </w:pPr>
    <w:rPr>
      <w:rFonts w:eastAsia="Times New Roman"/>
      <w:szCs w:val="20"/>
    </w:rPr>
  </w:style>
  <w:style w:type="paragraph" w:customStyle="1" w:styleId="15LineQuote05">
    <w:name w:val="1.5 Line Quote 0.5&quot;"/>
    <w:basedOn w:val="Normal"/>
    <w:uiPriority w:val="17"/>
    <w:qFormat/>
    <w:rsid w:val="00A746F1"/>
    <w:pPr>
      <w:suppressAutoHyphens/>
      <w:spacing w:after="240" w:line="360" w:lineRule="auto"/>
      <w:ind w:left="720" w:right="720"/>
    </w:pPr>
    <w:rPr>
      <w:rFonts w:eastAsia="Times New Roman"/>
      <w:szCs w:val="20"/>
    </w:rPr>
  </w:style>
  <w:style w:type="paragraph" w:customStyle="1" w:styleId="15LineRightAligned">
    <w:name w:val="1.5 Line Right Aligned"/>
    <w:basedOn w:val="Normal"/>
    <w:uiPriority w:val="17"/>
    <w:rsid w:val="00A746F1"/>
    <w:pPr>
      <w:suppressAutoHyphens/>
      <w:spacing w:line="360" w:lineRule="auto"/>
      <w:jc w:val="right"/>
    </w:pPr>
    <w:rPr>
      <w:rFonts w:eastAsia="Times New Roman"/>
      <w:szCs w:val="20"/>
    </w:rPr>
  </w:style>
  <w:style w:type="paragraph" w:customStyle="1" w:styleId="AffirmativeDefense0">
    <w:name w:val="Affirmative Defense"/>
    <w:basedOn w:val="Normal0"/>
    <w:next w:val="Normal"/>
    <w:uiPriority w:val="99"/>
    <w:semiHidden/>
    <w:rsid w:val="00A746F1"/>
    <w:pPr>
      <w:spacing w:line="480" w:lineRule="exact"/>
      <w:jc w:val="center"/>
    </w:pPr>
    <w:rPr>
      <w:b/>
      <w:u w:val="single"/>
    </w:rPr>
  </w:style>
  <w:style w:type="paragraph" w:styleId="BalloonText">
    <w:name w:val="Balloon Text"/>
    <w:basedOn w:val="Normal"/>
    <w:link w:val="BalloonTextChar"/>
    <w:uiPriority w:val="99"/>
    <w:unhideWhenUsed/>
    <w:rsid w:val="00A746F1"/>
    <w:rPr>
      <w:rFonts w:ascii="Tahoma" w:hAnsi="Tahoma" w:cs="Tahoma"/>
      <w:sz w:val="16"/>
      <w:szCs w:val="16"/>
    </w:rPr>
  </w:style>
  <w:style w:type="character" w:customStyle="1" w:styleId="BalloonTextChar">
    <w:name w:val="Balloon Text Char"/>
    <w:basedOn w:val="DefaultParagraphFont"/>
    <w:link w:val="BalloonText"/>
    <w:uiPriority w:val="99"/>
    <w:rsid w:val="00A746F1"/>
    <w:rPr>
      <w:rFonts w:ascii="Tahoma" w:hAnsi="Tahoma" w:cs="Tahoma"/>
      <w:sz w:val="16"/>
      <w:szCs w:val="16"/>
    </w:rPr>
  </w:style>
  <w:style w:type="paragraph" w:customStyle="1" w:styleId="CustomHeading10">
    <w:name w:val="Custom Heading 1"/>
    <w:basedOn w:val="Normal"/>
    <w:uiPriority w:val="99"/>
    <w:semiHidden/>
    <w:rsid w:val="00A746F1"/>
    <w:pPr>
      <w:keepNext/>
      <w:keepLines/>
      <w:suppressAutoHyphens/>
      <w:jc w:val="center"/>
    </w:pPr>
    <w:rPr>
      <w:rFonts w:eastAsia="Times New Roman"/>
      <w:szCs w:val="20"/>
    </w:rPr>
  </w:style>
  <w:style w:type="paragraph" w:customStyle="1" w:styleId="CustomHeading20">
    <w:name w:val="Custom Heading 2"/>
    <w:basedOn w:val="Normal"/>
    <w:uiPriority w:val="99"/>
    <w:semiHidden/>
    <w:rsid w:val="00A746F1"/>
    <w:pPr>
      <w:keepNext/>
      <w:keepLines/>
      <w:suppressAutoHyphens/>
      <w:jc w:val="center"/>
    </w:pPr>
    <w:rPr>
      <w:rFonts w:eastAsia="Times New Roman"/>
      <w:szCs w:val="20"/>
    </w:rPr>
  </w:style>
  <w:style w:type="paragraph" w:customStyle="1" w:styleId="CustomHeading30">
    <w:name w:val="Custom Heading 3"/>
    <w:basedOn w:val="Normal"/>
    <w:uiPriority w:val="99"/>
    <w:semiHidden/>
    <w:rsid w:val="00A746F1"/>
    <w:pPr>
      <w:keepNext/>
      <w:keepLines/>
      <w:suppressAutoHyphens/>
      <w:jc w:val="center"/>
    </w:pPr>
    <w:rPr>
      <w:rFonts w:eastAsia="Times New Roman"/>
      <w:szCs w:val="20"/>
    </w:rPr>
  </w:style>
  <w:style w:type="paragraph" w:customStyle="1" w:styleId="CustomHeading40">
    <w:name w:val="Custom Heading 4"/>
    <w:basedOn w:val="Normal"/>
    <w:uiPriority w:val="99"/>
    <w:semiHidden/>
    <w:rsid w:val="00A746F1"/>
    <w:pPr>
      <w:keepNext/>
      <w:keepLines/>
      <w:suppressAutoHyphens/>
      <w:jc w:val="center"/>
    </w:pPr>
    <w:rPr>
      <w:rFonts w:eastAsia="Times New Roman"/>
      <w:szCs w:val="20"/>
    </w:rPr>
  </w:style>
  <w:style w:type="paragraph" w:customStyle="1" w:styleId="CustomHeading50">
    <w:name w:val="Custom Heading 5"/>
    <w:basedOn w:val="Normal"/>
    <w:uiPriority w:val="99"/>
    <w:semiHidden/>
    <w:rsid w:val="00A746F1"/>
    <w:pPr>
      <w:keepNext/>
      <w:keepLines/>
      <w:suppressAutoHyphens/>
      <w:jc w:val="center"/>
    </w:pPr>
    <w:rPr>
      <w:rFonts w:eastAsia="Times New Roman"/>
      <w:szCs w:val="20"/>
    </w:rPr>
  </w:style>
  <w:style w:type="paragraph" w:customStyle="1" w:styleId="CustomHeading60">
    <w:name w:val="Custom Heading 6"/>
    <w:basedOn w:val="Normal"/>
    <w:uiPriority w:val="99"/>
    <w:semiHidden/>
    <w:rsid w:val="00A746F1"/>
    <w:pPr>
      <w:keepNext/>
      <w:keepLines/>
      <w:suppressAutoHyphens/>
      <w:jc w:val="center"/>
    </w:pPr>
    <w:rPr>
      <w:rFonts w:eastAsia="Times New Roman"/>
      <w:szCs w:val="20"/>
    </w:rPr>
  </w:style>
  <w:style w:type="paragraph" w:customStyle="1" w:styleId="CustomParagraph10">
    <w:name w:val="Custom Paragraph 1"/>
    <w:basedOn w:val="Normal"/>
    <w:uiPriority w:val="99"/>
    <w:semiHidden/>
    <w:rsid w:val="00A746F1"/>
    <w:pPr>
      <w:suppressAutoHyphens/>
    </w:pPr>
    <w:rPr>
      <w:rFonts w:eastAsia="Times New Roman"/>
      <w:szCs w:val="20"/>
    </w:rPr>
  </w:style>
  <w:style w:type="paragraph" w:customStyle="1" w:styleId="CustomParagraph20">
    <w:name w:val="Custom Paragraph 2"/>
    <w:basedOn w:val="Normal"/>
    <w:uiPriority w:val="99"/>
    <w:semiHidden/>
    <w:rsid w:val="00A746F1"/>
    <w:pPr>
      <w:suppressAutoHyphens/>
    </w:pPr>
    <w:rPr>
      <w:rFonts w:eastAsia="Times New Roman"/>
      <w:szCs w:val="20"/>
    </w:rPr>
  </w:style>
  <w:style w:type="paragraph" w:customStyle="1" w:styleId="CustomParagraph30">
    <w:name w:val="Custom Paragraph 3"/>
    <w:basedOn w:val="Normal"/>
    <w:uiPriority w:val="99"/>
    <w:semiHidden/>
    <w:rsid w:val="00A746F1"/>
    <w:pPr>
      <w:suppressAutoHyphens/>
    </w:pPr>
    <w:rPr>
      <w:rFonts w:eastAsia="Times New Roman"/>
      <w:szCs w:val="20"/>
    </w:rPr>
  </w:style>
  <w:style w:type="paragraph" w:customStyle="1" w:styleId="CustomParagraph40">
    <w:name w:val="Custom Paragraph 4"/>
    <w:basedOn w:val="Normal"/>
    <w:uiPriority w:val="99"/>
    <w:semiHidden/>
    <w:rsid w:val="00A746F1"/>
    <w:pPr>
      <w:suppressAutoHyphens/>
    </w:pPr>
    <w:rPr>
      <w:rFonts w:eastAsia="Times New Roman"/>
      <w:szCs w:val="20"/>
    </w:rPr>
  </w:style>
  <w:style w:type="paragraph" w:customStyle="1" w:styleId="CustomParagraph50">
    <w:name w:val="Custom Paragraph 5"/>
    <w:basedOn w:val="Normal"/>
    <w:uiPriority w:val="99"/>
    <w:semiHidden/>
    <w:rsid w:val="00A746F1"/>
    <w:pPr>
      <w:suppressAutoHyphens/>
    </w:pPr>
    <w:rPr>
      <w:rFonts w:eastAsia="Times New Roman"/>
      <w:szCs w:val="20"/>
    </w:rPr>
  </w:style>
  <w:style w:type="paragraph" w:customStyle="1" w:styleId="CustomParagraph60">
    <w:name w:val="Custom Paragraph 6"/>
    <w:basedOn w:val="Normal"/>
    <w:uiPriority w:val="99"/>
    <w:semiHidden/>
    <w:rsid w:val="00A746F1"/>
    <w:pPr>
      <w:suppressAutoHyphens/>
    </w:pPr>
    <w:rPr>
      <w:rFonts w:eastAsia="Times New Roman"/>
      <w:szCs w:val="20"/>
    </w:rPr>
  </w:style>
  <w:style w:type="paragraph" w:customStyle="1" w:styleId="Discovery0">
    <w:name w:val="Discovery"/>
    <w:basedOn w:val="Normal0"/>
    <w:uiPriority w:val="99"/>
    <w:semiHidden/>
    <w:rsid w:val="00A746F1"/>
    <w:pPr>
      <w:spacing w:line="240" w:lineRule="exact"/>
      <w:ind w:left="2880" w:right="720" w:hanging="2160"/>
    </w:pPr>
  </w:style>
  <w:style w:type="paragraph" w:customStyle="1" w:styleId="Double0">
    <w:name w:val="Double 0&quot;"/>
    <w:basedOn w:val="Normal"/>
    <w:uiPriority w:val="3"/>
    <w:qFormat/>
    <w:rsid w:val="00A746F1"/>
    <w:pPr>
      <w:suppressAutoHyphens/>
      <w:spacing w:line="480" w:lineRule="auto"/>
    </w:pPr>
    <w:rPr>
      <w:rFonts w:eastAsia="Times New Roman"/>
      <w:szCs w:val="20"/>
    </w:rPr>
  </w:style>
  <w:style w:type="paragraph" w:customStyle="1" w:styleId="Double05">
    <w:name w:val="Double 0.5&quot;"/>
    <w:basedOn w:val="Normal"/>
    <w:uiPriority w:val="6"/>
    <w:qFormat/>
    <w:rsid w:val="00A746F1"/>
    <w:pPr>
      <w:suppressAutoHyphens/>
      <w:spacing w:line="480" w:lineRule="auto"/>
      <w:ind w:firstLine="720"/>
    </w:pPr>
    <w:rPr>
      <w:rFonts w:eastAsia="Times New Roman"/>
      <w:szCs w:val="20"/>
    </w:rPr>
  </w:style>
  <w:style w:type="paragraph" w:customStyle="1" w:styleId="Double1">
    <w:name w:val="Double 1&quot;"/>
    <w:basedOn w:val="Normal"/>
    <w:uiPriority w:val="9"/>
    <w:qFormat/>
    <w:rsid w:val="00A746F1"/>
    <w:pPr>
      <w:suppressAutoHyphens/>
      <w:spacing w:line="480" w:lineRule="auto"/>
      <w:ind w:firstLine="1440"/>
    </w:pPr>
    <w:rPr>
      <w:rFonts w:eastAsia="Times New Roman"/>
      <w:szCs w:val="20"/>
    </w:rPr>
  </w:style>
  <w:style w:type="paragraph" w:customStyle="1" w:styleId="Double15">
    <w:name w:val="Double 1.5&quot;"/>
    <w:basedOn w:val="Normal"/>
    <w:uiPriority w:val="12"/>
    <w:rsid w:val="00A746F1"/>
    <w:pPr>
      <w:suppressAutoHyphens/>
      <w:spacing w:after="240" w:line="480" w:lineRule="auto"/>
      <w:ind w:firstLine="2160"/>
    </w:pPr>
    <w:rPr>
      <w:rFonts w:eastAsia="Times New Roman"/>
      <w:szCs w:val="20"/>
    </w:rPr>
  </w:style>
  <w:style w:type="paragraph" w:customStyle="1" w:styleId="DoubleHanging05">
    <w:name w:val="Double Hanging 0.5&quot;"/>
    <w:basedOn w:val="Normal"/>
    <w:uiPriority w:val="17"/>
    <w:rsid w:val="00A746F1"/>
    <w:pPr>
      <w:suppressAutoHyphens/>
      <w:spacing w:line="480" w:lineRule="auto"/>
      <w:ind w:left="720" w:hanging="720"/>
    </w:pPr>
    <w:rPr>
      <w:rFonts w:eastAsia="Times New Roman"/>
      <w:szCs w:val="20"/>
    </w:rPr>
  </w:style>
  <w:style w:type="paragraph" w:customStyle="1" w:styleId="DoubleHanging1">
    <w:name w:val="Double Hanging 1&quot;"/>
    <w:basedOn w:val="Normal"/>
    <w:uiPriority w:val="17"/>
    <w:rsid w:val="00A746F1"/>
    <w:pPr>
      <w:suppressAutoHyphens/>
      <w:spacing w:line="480" w:lineRule="auto"/>
      <w:ind w:left="1440" w:hanging="720"/>
    </w:pPr>
    <w:rPr>
      <w:rFonts w:eastAsia="Times New Roman"/>
      <w:szCs w:val="20"/>
    </w:rPr>
  </w:style>
  <w:style w:type="paragraph" w:customStyle="1" w:styleId="DoubleHanging15">
    <w:name w:val="Double Hanging 1.5&quot;"/>
    <w:basedOn w:val="Normal"/>
    <w:uiPriority w:val="17"/>
    <w:rsid w:val="00A746F1"/>
    <w:pPr>
      <w:suppressAutoHyphens/>
      <w:spacing w:line="480" w:lineRule="auto"/>
      <w:ind w:left="2160" w:hanging="720"/>
    </w:pPr>
    <w:rPr>
      <w:rFonts w:eastAsia="Times New Roman"/>
      <w:szCs w:val="20"/>
    </w:rPr>
  </w:style>
  <w:style w:type="paragraph" w:customStyle="1" w:styleId="DoubleInd05">
    <w:name w:val="Double Ind 0.5&quot;"/>
    <w:basedOn w:val="Normal"/>
    <w:uiPriority w:val="17"/>
    <w:qFormat/>
    <w:rsid w:val="00A746F1"/>
    <w:pPr>
      <w:suppressAutoHyphens/>
      <w:spacing w:line="480" w:lineRule="auto"/>
      <w:ind w:left="720"/>
    </w:pPr>
    <w:rPr>
      <w:rFonts w:eastAsia="Times New Roman"/>
      <w:szCs w:val="20"/>
    </w:rPr>
  </w:style>
  <w:style w:type="paragraph" w:customStyle="1" w:styleId="DoubleInd1">
    <w:name w:val="Double Ind 1&quot;"/>
    <w:basedOn w:val="Normal"/>
    <w:uiPriority w:val="17"/>
    <w:rsid w:val="00A746F1"/>
    <w:pPr>
      <w:suppressAutoHyphens/>
      <w:spacing w:line="480" w:lineRule="auto"/>
      <w:ind w:left="1440"/>
    </w:pPr>
    <w:rPr>
      <w:rFonts w:eastAsia="Times New Roman"/>
      <w:szCs w:val="20"/>
    </w:rPr>
  </w:style>
  <w:style w:type="paragraph" w:customStyle="1" w:styleId="DoubleInd15">
    <w:name w:val="Double Ind 1.5&quot;"/>
    <w:basedOn w:val="Normal"/>
    <w:uiPriority w:val="17"/>
    <w:rsid w:val="00A746F1"/>
    <w:pPr>
      <w:suppressAutoHyphens/>
      <w:spacing w:line="480" w:lineRule="auto"/>
      <w:ind w:left="2160"/>
    </w:pPr>
    <w:rPr>
      <w:rFonts w:eastAsia="Times New Roman"/>
      <w:szCs w:val="20"/>
    </w:rPr>
  </w:style>
  <w:style w:type="paragraph" w:customStyle="1" w:styleId="DoubleQuote05">
    <w:name w:val="Double Quote 0.5&quot;"/>
    <w:basedOn w:val="Normal"/>
    <w:uiPriority w:val="17"/>
    <w:qFormat/>
    <w:rsid w:val="00A746F1"/>
    <w:pPr>
      <w:suppressAutoHyphens/>
      <w:spacing w:line="480" w:lineRule="auto"/>
      <w:ind w:left="720" w:right="720"/>
    </w:pPr>
    <w:rPr>
      <w:rFonts w:eastAsia="Times New Roman"/>
      <w:szCs w:val="20"/>
    </w:rPr>
  </w:style>
  <w:style w:type="paragraph" w:customStyle="1" w:styleId="DoubleQuote1">
    <w:name w:val="Double Quote 1&quot;"/>
    <w:basedOn w:val="Normal"/>
    <w:uiPriority w:val="17"/>
    <w:qFormat/>
    <w:rsid w:val="00A746F1"/>
    <w:pPr>
      <w:suppressAutoHyphens/>
      <w:spacing w:line="480" w:lineRule="auto"/>
      <w:ind w:left="1440" w:right="1440"/>
    </w:pPr>
    <w:rPr>
      <w:rFonts w:eastAsia="Times New Roman"/>
      <w:szCs w:val="20"/>
    </w:rPr>
  </w:style>
  <w:style w:type="paragraph" w:customStyle="1" w:styleId="DoubleQuote15">
    <w:name w:val="Double Quote 1.5&quot;"/>
    <w:basedOn w:val="Normal"/>
    <w:uiPriority w:val="17"/>
    <w:rsid w:val="00A746F1"/>
    <w:pPr>
      <w:suppressAutoHyphens/>
      <w:spacing w:line="480" w:lineRule="auto"/>
      <w:ind w:left="2160" w:right="2160"/>
    </w:pPr>
    <w:rPr>
      <w:rFonts w:eastAsia="Times New Roman"/>
      <w:szCs w:val="20"/>
    </w:rPr>
  </w:style>
  <w:style w:type="paragraph" w:customStyle="1" w:styleId="DoubleRightAligned">
    <w:name w:val="Double Right Aligned"/>
    <w:basedOn w:val="Normal"/>
    <w:uiPriority w:val="17"/>
    <w:rsid w:val="00A746F1"/>
    <w:pPr>
      <w:suppressAutoHyphens/>
      <w:spacing w:line="480" w:lineRule="auto"/>
      <w:jc w:val="right"/>
    </w:pPr>
    <w:rPr>
      <w:rFonts w:eastAsia="Times New Roman"/>
      <w:szCs w:val="20"/>
    </w:rPr>
  </w:style>
  <w:style w:type="paragraph" w:customStyle="1" w:styleId="FilenameText">
    <w:name w:val="FilenameText"/>
    <w:basedOn w:val="Normal"/>
    <w:next w:val="Normal"/>
    <w:uiPriority w:val="99"/>
    <w:semiHidden/>
    <w:rsid w:val="00A746F1"/>
    <w:rPr>
      <w:rFonts w:eastAsia="Times New Roman"/>
      <w:sz w:val="16"/>
    </w:rPr>
  </w:style>
  <w:style w:type="paragraph" w:customStyle="1" w:styleId="Index0">
    <w:name w:val="Index"/>
    <w:basedOn w:val="Normal"/>
    <w:uiPriority w:val="99"/>
    <w:semiHidden/>
    <w:rsid w:val="00A746F1"/>
    <w:pPr>
      <w:tabs>
        <w:tab w:val="right" w:pos="9360"/>
      </w:tabs>
      <w:suppressAutoHyphens/>
    </w:pPr>
    <w:rPr>
      <w:rFonts w:eastAsia="Times New Roman"/>
      <w:szCs w:val="20"/>
    </w:rPr>
  </w:style>
  <w:style w:type="paragraph" w:customStyle="1" w:styleId="MWsig0">
    <w:name w:val="MWsig"/>
    <w:basedOn w:val="Normal"/>
    <w:next w:val="Normal"/>
    <w:uiPriority w:val="99"/>
    <w:semiHidden/>
    <w:rsid w:val="00A746F1"/>
    <w:pPr>
      <w:keepNext/>
      <w:suppressAutoHyphens/>
      <w:spacing w:before="120" w:after="240"/>
    </w:pPr>
    <w:rPr>
      <w:rFonts w:ascii="Arial" w:eastAsia="Times New Roman" w:hAnsi="Arial" w:cs="Arial"/>
    </w:rPr>
  </w:style>
  <w:style w:type="paragraph" w:customStyle="1" w:styleId="MWsigFP0">
    <w:name w:val="MWsigFP"/>
    <w:basedOn w:val="Normal"/>
    <w:next w:val="Normal"/>
    <w:uiPriority w:val="99"/>
    <w:semiHidden/>
    <w:rsid w:val="00A746F1"/>
    <w:pPr>
      <w:suppressAutoHyphens/>
      <w:spacing w:before="720"/>
    </w:pPr>
    <w:rPr>
      <w:rFonts w:ascii="Arial" w:eastAsia="Times New Roman" w:hAnsi="Arial" w:cs="Arial"/>
      <w:szCs w:val="20"/>
    </w:rPr>
  </w:style>
  <w:style w:type="paragraph" w:customStyle="1" w:styleId="MWsigFP20">
    <w:name w:val="MWsigFP2"/>
    <w:basedOn w:val="Normal"/>
    <w:uiPriority w:val="99"/>
    <w:semiHidden/>
    <w:rsid w:val="00A746F1"/>
    <w:pPr>
      <w:suppressAutoHyphens/>
    </w:pPr>
    <w:rPr>
      <w:rFonts w:ascii="Arial" w:eastAsia="Times New Roman" w:hAnsi="Arial" w:cs="Arial"/>
      <w:szCs w:val="20"/>
    </w:rPr>
  </w:style>
  <w:style w:type="character" w:styleId="PageNumber">
    <w:name w:val="page number"/>
    <w:basedOn w:val="DefaultParagraphFont"/>
    <w:uiPriority w:val="99"/>
    <w:rsid w:val="00A746F1"/>
  </w:style>
  <w:style w:type="paragraph" w:customStyle="1" w:styleId="RightFax0">
    <w:name w:val="RightFax"/>
    <w:basedOn w:val="Normal"/>
    <w:next w:val="Normal"/>
    <w:uiPriority w:val="99"/>
    <w:semiHidden/>
    <w:rsid w:val="00A746F1"/>
    <w:rPr>
      <w:rFonts w:ascii="Courier New" w:eastAsia="Times New Roman" w:hAnsi="Courier New"/>
    </w:rPr>
  </w:style>
  <w:style w:type="paragraph" w:styleId="Signature">
    <w:name w:val="Signature"/>
    <w:basedOn w:val="Normal"/>
    <w:link w:val="SignatureChar"/>
    <w:uiPriority w:val="99"/>
    <w:rsid w:val="00A746F1"/>
    <w:rPr>
      <w:rFonts w:eastAsia="Times New Roman"/>
    </w:rPr>
  </w:style>
  <w:style w:type="character" w:customStyle="1" w:styleId="SignatureChar">
    <w:name w:val="Signature Char"/>
    <w:basedOn w:val="DefaultParagraphFont"/>
    <w:link w:val="Signature"/>
    <w:uiPriority w:val="99"/>
    <w:rsid w:val="00A746F1"/>
    <w:rPr>
      <w:rFonts w:eastAsia="Times New Roman"/>
      <w:sz w:val="24"/>
      <w:szCs w:val="24"/>
    </w:rPr>
  </w:style>
  <w:style w:type="paragraph" w:customStyle="1" w:styleId="Single05">
    <w:name w:val="Single 0.5&quot;"/>
    <w:basedOn w:val="Normal"/>
    <w:uiPriority w:val="4"/>
    <w:qFormat/>
    <w:rsid w:val="00A746F1"/>
    <w:pPr>
      <w:suppressAutoHyphens/>
      <w:spacing w:after="240"/>
      <w:ind w:firstLine="720"/>
    </w:pPr>
    <w:rPr>
      <w:rFonts w:eastAsia="Times New Roman"/>
      <w:szCs w:val="20"/>
    </w:rPr>
  </w:style>
  <w:style w:type="paragraph" w:customStyle="1" w:styleId="Single1">
    <w:name w:val="Single 1&quot;"/>
    <w:basedOn w:val="Normal"/>
    <w:uiPriority w:val="7"/>
    <w:qFormat/>
    <w:rsid w:val="00A746F1"/>
    <w:pPr>
      <w:suppressAutoHyphens/>
      <w:spacing w:after="240"/>
      <w:ind w:firstLine="1440"/>
    </w:pPr>
    <w:rPr>
      <w:rFonts w:eastAsia="Times New Roman"/>
      <w:szCs w:val="20"/>
    </w:rPr>
  </w:style>
  <w:style w:type="paragraph" w:customStyle="1" w:styleId="Single15">
    <w:name w:val="Single 1.5&quot;"/>
    <w:basedOn w:val="Normal"/>
    <w:uiPriority w:val="10"/>
    <w:rsid w:val="00A746F1"/>
    <w:pPr>
      <w:suppressAutoHyphens/>
      <w:spacing w:after="240"/>
      <w:ind w:firstLine="2160"/>
    </w:pPr>
    <w:rPr>
      <w:rFonts w:eastAsia="Times New Roman"/>
      <w:szCs w:val="20"/>
    </w:rPr>
  </w:style>
  <w:style w:type="paragraph" w:customStyle="1" w:styleId="SingleHanging05">
    <w:name w:val="Single Hanging 0.5&quot;"/>
    <w:basedOn w:val="Normal"/>
    <w:uiPriority w:val="17"/>
    <w:rsid w:val="00A746F1"/>
    <w:pPr>
      <w:suppressAutoHyphens/>
      <w:spacing w:after="240"/>
      <w:ind w:left="720" w:hanging="720"/>
    </w:pPr>
    <w:rPr>
      <w:rFonts w:eastAsia="Times New Roman"/>
      <w:szCs w:val="20"/>
    </w:rPr>
  </w:style>
  <w:style w:type="paragraph" w:customStyle="1" w:styleId="SingleHanging05nospaceafter">
    <w:name w:val="Single Hanging 0.5&quot; (no space after)"/>
    <w:basedOn w:val="Normal"/>
    <w:uiPriority w:val="17"/>
    <w:rsid w:val="00A746F1"/>
    <w:pPr>
      <w:suppressAutoHyphens/>
      <w:ind w:left="720" w:hanging="720"/>
    </w:pPr>
    <w:rPr>
      <w:rFonts w:eastAsia="Times New Roman"/>
      <w:szCs w:val="20"/>
    </w:rPr>
  </w:style>
  <w:style w:type="paragraph" w:customStyle="1" w:styleId="SingleHanging1">
    <w:name w:val="Single Hanging 1&quot;"/>
    <w:basedOn w:val="Normal"/>
    <w:uiPriority w:val="17"/>
    <w:rsid w:val="00A746F1"/>
    <w:pPr>
      <w:suppressAutoHyphens/>
      <w:spacing w:after="240"/>
      <w:ind w:left="1440" w:hanging="720"/>
    </w:pPr>
    <w:rPr>
      <w:rFonts w:eastAsia="Times New Roman"/>
      <w:szCs w:val="20"/>
    </w:rPr>
  </w:style>
  <w:style w:type="paragraph" w:customStyle="1" w:styleId="SingleHanging15">
    <w:name w:val="Single Hanging 1.5&quot;"/>
    <w:basedOn w:val="Normal"/>
    <w:uiPriority w:val="17"/>
    <w:rsid w:val="00A746F1"/>
    <w:pPr>
      <w:suppressAutoHyphens/>
      <w:spacing w:after="240"/>
      <w:ind w:left="2160" w:hanging="720"/>
    </w:pPr>
    <w:rPr>
      <w:rFonts w:eastAsia="Times New Roman"/>
      <w:szCs w:val="20"/>
    </w:rPr>
  </w:style>
  <w:style w:type="paragraph" w:customStyle="1" w:styleId="SingleInd05">
    <w:name w:val="Single Ind 0.5&quot;"/>
    <w:basedOn w:val="Normal"/>
    <w:uiPriority w:val="17"/>
    <w:rsid w:val="00A746F1"/>
    <w:pPr>
      <w:suppressAutoHyphens/>
      <w:spacing w:after="240"/>
      <w:ind w:left="720"/>
    </w:pPr>
    <w:rPr>
      <w:rFonts w:eastAsia="Times New Roman"/>
      <w:szCs w:val="20"/>
    </w:rPr>
  </w:style>
  <w:style w:type="paragraph" w:customStyle="1" w:styleId="SingleInd05nospaceafter">
    <w:name w:val="Single Ind 0.5&quot; (no space after)"/>
    <w:basedOn w:val="Normal"/>
    <w:uiPriority w:val="17"/>
    <w:rsid w:val="00A746F1"/>
    <w:pPr>
      <w:suppressAutoHyphens/>
      <w:ind w:left="720"/>
    </w:pPr>
    <w:rPr>
      <w:rFonts w:eastAsia="Times New Roman"/>
      <w:szCs w:val="20"/>
    </w:rPr>
  </w:style>
  <w:style w:type="paragraph" w:customStyle="1" w:styleId="SingleInd1">
    <w:name w:val="Single Ind 1&quot;"/>
    <w:basedOn w:val="Normal"/>
    <w:uiPriority w:val="17"/>
    <w:qFormat/>
    <w:rsid w:val="00A746F1"/>
    <w:pPr>
      <w:suppressAutoHyphens/>
      <w:spacing w:after="240"/>
      <w:ind w:left="1440"/>
    </w:pPr>
    <w:rPr>
      <w:rFonts w:eastAsia="Times New Roman"/>
      <w:szCs w:val="20"/>
    </w:rPr>
  </w:style>
  <w:style w:type="paragraph" w:customStyle="1" w:styleId="SingleInd15">
    <w:name w:val="Single Ind 1.5&quot;"/>
    <w:basedOn w:val="Normal"/>
    <w:uiPriority w:val="99"/>
    <w:semiHidden/>
    <w:qFormat/>
    <w:rsid w:val="00A746F1"/>
    <w:pPr>
      <w:suppressAutoHyphens/>
      <w:ind w:left="2160"/>
    </w:pPr>
    <w:rPr>
      <w:rFonts w:eastAsia="Times New Roman"/>
      <w:szCs w:val="20"/>
    </w:rPr>
  </w:style>
  <w:style w:type="paragraph" w:customStyle="1" w:styleId="SingleQuote05">
    <w:name w:val="Single Quote 0.5&quot;"/>
    <w:basedOn w:val="Normal"/>
    <w:uiPriority w:val="17"/>
    <w:qFormat/>
    <w:rsid w:val="00A746F1"/>
    <w:pPr>
      <w:suppressAutoHyphens/>
      <w:spacing w:after="240"/>
      <w:ind w:left="720" w:right="720"/>
    </w:pPr>
    <w:rPr>
      <w:rFonts w:eastAsia="Times New Roman"/>
      <w:szCs w:val="20"/>
    </w:rPr>
  </w:style>
  <w:style w:type="paragraph" w:customStyle="1" w:styleId="SingleQuote1">
    <w:name w:val="Single Quote 1&quot;"/>
    <w:basedOn w:val="Normal"/>
    <w:uiPriority w:val="17"/>
    <w:qFormat/>
    <w:rsid w:val="00A746F1"/>
    <w:pPr>
      <w:suppressAutoHyphens/>
      <w:spacing w:after="240"/>
      <w:ind w:left="1440" w:right="1440"/>
    </w:pPr>
    <w:rPr>
      <w:rFonts w:eastAsia="Times New Roman"/>
      <w:szCs w:val="20"/>
    </w:rPr>
  </w:style>
  <w:style w:type="paragraph" w:customStyle="1" w:styleId="SingleQuote15">
    <w:name w:val="Single Quote 1.5&quot;"/>
    <w:basedOn w:val="Normal"/>
    <w:uiPriority w:val="17"/>
    <w:rsid w:val="00A746F1"/>
    <w:pPr>
      <w:suppressAutoHyphens/>
      <w:spacing w:after="240"/>
      <w:ind w:left="2160" w:right="2160"/>
    </w:pPr>
    <w:rPr>
      <w:rFonts w:eastAsia="Times New Roman"/>
      <w:szCs w:val="20"/>
    </w:rPr>
  </w:style>
  <w:style w:type="paragraph" w:customStyle="1" w:styleId="SingleRightAligned">
    <w:name w:val="Single Right Aligned"/>
    <w:basedOn w:val="Normal"/>
    <w:uiPriority w:val="17"/>
    <w:rsid w:val="00A746F1"/>
    <w:pPr>
      <w:suppressAutoHyphens/>
      <w:spacing w:after="240"/>
      <w:jc w:val="right"/>
    </w:pPr>
    <w:rPr>
      <w:rFonts w:eastAsia="Times New Roman"/>
      <w:szCs w:val="20"/>
    </w:rPr>
  </w:style>
  <w:style w:type="paragraph" w:styleId="Subtitle">
    <w:name w:val="Subtitle"/>
    <w:basedOn w:val="Normal"/>
    <w:next w:val="Normal"/>
    <w:link w:val="SubtitleChar"/>
    <w:uiPriority w:val="99"/>
    <w:rsid w:val="00A746F1"/>
    <w:pPr>
      <w:numPr>
        <w:ilvl w:val="1"/>
      </w:numPr>
    </w:pPr>
    <w:rPr>
      <w:rFonts w:eastAsia="Times New Roman"/>
      <w:i/>
      <w:iCs/>
      <w:spacing w:val="15"/>
    </w:rPr>
  </w:style>
  <w:style w:type="character" w:customStyle="1" w:styleId="SubtitleChar">
    <w:name w:val="Subtitle Char"/>
    <w:basedOn w:val="DefaultParagraphFont"/>
    <w:link w:val="Subtitle"/>
    <w:uiPriority w:val="99"/>
    <w:rsid w:val="00A746F1"/>
    <w:rPr>
      <w:rFonts w:eastAsia="Times New Roman"/>
      <w:i/>
      <w:iCs/>
      <w:spacing w:val="15"/>
      <w:sz w:val="24"/>
      <w:szCs w:val="24"/>
    </w:rPr>
  </w:style>
  <w:style w:type="paragraph" w:customStyle="1" w:styleId="Subtitle1">
    <w:name w:val="Subtitle 1"/>
    <w:basedOn w:val="Normal"/>
    <w:uiPriority w:val="32"/>
    <w:qFormat/>
    <w:rsid w:val="00A746F1"/>
    <w:pPr>
      <w:keepNext/>
      <w:keepLines/>
      <w:suppressAutoHyphens/>
    </w:pPr>
    <w:rPr>
      <w:rFonts w:eastAsia="Times New Roman"/>
      <w:b/>
      <w:szCs w:val="20"/>
      <w:u w:val="single"/>
    </w:rPr>
  </w:style>
  <w:style w:type="paragraph" w:customStyle="1" w:styleId="Subtitle2">
    <w:name w:val="Subtitle 2"/>
    <w:basedOn w:val="Normal"/>
    <w:uiPriority w:val="32"/>
    <w:qFormat/>
    <w:rsid w:val="00A746F1"/>
    <w:pPr>
      <w:suppressAutoHyphens/>
    </w:pPr>
    <w:rPr>
      <w:rFonts w:eastAsia="Times New Roman"/>
      <w:b/>
      <w:i/>
      <w:szCs w:val="20"/>
      <w:u w:val="single"/>
    </w:rPr>
  </w:style>
  <w:style w:type="paragraph" w:customStyle="1" w:styleId="Subtitle3">
    <w:name w:val="Subtitle 3"/>
    <w:basedOn w:val="Normal"/>
    <w:uiPriority w:val="32"/>
    <w:rsid w:val="00A746F1"/>
    <w:pPr>
      <w:keepNext/>
      <w:keepLines/>
      <w:suppressAutoHyphens/>
    </w:pPr>
    <w:rPr>
      <w:rFonts w:eastAsia="Times New Roman"/>
      <w:szCs w:val="20"/>
    </w:rPr>
  </w:style>
  <w:style w:type="paragraph" w:customStyle="1" w:styleId="TableText">
    <w:name w:val="Table Text"/>
    <w:basedOn w:val="Normal"/>
    <w:uiPriority w:val="34"/>
    <w:qFormat/>
    <w:rsid w:val="00A746F1"/>
    <w:pPr>
      <w:suppressAutoHyphens/>
    </w:pPr>
    <w:rPr>
      <w:rFonts w:eastAsia="Times New Roman"/>
      <w:szCs w:val="20"/>
    </w:rPr>
  </w:style>
  <w:style w:type="paragraph" w:customStyle="1" w:styleId="TableTitle1">
    <w:name w:val="Table Title 1"/>
    <w:basedOn w:val="Normal"/>
    <w:uiPriority w:val="33"/>
    <w:qFormat/>
    <w:rsid w:val="00A746F1"/>
    <w:pPr>
      <w:keepNext/>
      <w:keepLines/>
      <w:suppressAutoHyphens/>
      <w:jc w:val="center"/>
    </w:pPr>
    <w:rPr>
      <w:rFonts w:eastAsia="Times New Roman"/>
      <w:b/>
      <w:szCs w:val="20"/>
    </w:rPr>
  </w:style>
  <w:style w:type="paragraph" w:customStyle="1" w:styleId="TableTitle2">
    <w:name w:val="Table Title 2"/>
    <w:basedOn w:val="Normal"/>
    <w:uiPriority w:val="33"/>
    <w:rsid w:val="00A746F1"/>
    <w:pPr>
      <w:keepNext/>
      <w:keepLines/>
      <w:suppressAutoHyphens/>
    </w:pPr>
    <w:rPr>
      <w:rFonts w:eastAsia="Times New Roman"/>
      <w:b/>
      <w:szCs w:val="20"/>
    </w:rPr>
  </w:style>
  <w:style w:type="paragraph" w:customStyle="1" w:styleId="TableTitle3">
    <w:name w:val="Table Title 3"/>
    <w:basedOn w:val="Normal"/>
    <w:uiPriority w:val="33"/>
    <w:rsid w:val="00A746F1"/>
    <w:pPr>
      <w:keepNext/>
      <w:keepLines/>
      <w:suppressAutoHyphens/>
      <w:jc w:val="right"/>
    </w:pPr>
    <w:rPr>
      <w:rFonts w:eastAsia="Times New Roman"/>
      <w:b/>
      <w:szCs w:val="20"/>
    </w:rPr>
  </w:style>
  <w:style w:type="paragraph" w:customStyle="1" w:styleId="TableTitle4">
    <w:name w:val="Table Title 4"/>
    <w:basedOn w:val="Normal"/>
    <w:uiPriority w:val="33"/>
    <w:rsid w:val="00A746F1"/>
    <w:pPr>
      <w:suppressAutoHyphens/>
      <w:jc w:val="right"/>
    </w:pPr>
    <w:rPr>
      <w:rFonts w:eastAsia="Times New Roman"/>
      <w:szCs w:val="20"/>
    </w:rPr>
  </w:style>
  <w:style w:type="paragraph" w:styleId="Title">
    <w:name w:val="Title"/>
    <w:basedOn w:val="Normal"/>
    <w:next w:val="Normal"/>
    <w:link w:val="TitleChar"/>
    <w:uiPriority w:val="99"/>
    <w:rsid w:val="00A746F1"/>
    <w:pPr>
      <w:spacing w:after="300"/>
      <w:contextualSpacing/>
    </w:pPr>
    <w:rPr>
      <w:rFonts w:eastAsia="Times New Roman"/>
      <w:b/>
      <w:spacing w:val="5"/>
      <w:kern w:val="28"/>
      <w:szCs w:val="52"/>
    </w:rPr>
  </w:style>
  <w:style w:type="character" w:customStyle="1" w:styleId="TitleChar">
    <w:name w:val="Title Char"/>
    <w:basedOn w:val="DefaultParagraphFont"/>
    <w:link w:val="Title"/>
    <w:uiPriority w:val="99"/>
    <w:rsid w:val="00A746F1"/>
    <w:rPr>
      <w:rFonts w:eastAsia="Times New Roman"/>
      <w:b/>
      <w:spacing w:val="5"/>
      <w:kern w:val="28"/>
      <w:sz w:val="24"/>
      <w:szCs w:val="52"/>
    </w:rPr>
  </w:style>
  <w:style w:type="paragraph" w:customStyle="1" w:styleId="Title1">
    <w:name w:val="Title 1"/>
    <w:basedOn w:val="Normal"/>
    <w:next w:val="Normal"/>
    <w:uiPriority w:val="31"/>
    <w:rsid w:val="00A746F1"/>
    <w:pPr>
      <w:spacing w:after="240"/>
      <w:jc w:val="center"/>
    </w:pPr>
    <w:rPr>
      <w:rFonts w:eastAsia="Times New Roman"/>
      <w:b/>
      <w:caps/>
      <w:szCs w:val="20"/>
      <w:u w:val="single"/>
    </w:rPr>
  </w:style>
  <w:style w:type="paragraph" w:customStyle="1" w:styleId="Title2">
    <w:name w:val="Title 2"/>
    <w:basedOn w:val="Normal"/>
    <w:next w:val="Normal"/>
    <w:uiPriority w:val="31"/>
    <w:rsid w:val="00A746F1"/>
    <w:pPr>
      <w:spacing w:after="240"/>
      <w:jc w:val="center"/>
    </w:pPr>
    <w:rPr>
      <w:rFonts w:eastAsia="Times New Roman"/>
      <w:b/>
      <w:caps/>
      <w:szCs w:val="20"/>
    </w:rPr>
  </w:style>
  <w:style w:type="paragraph" w:customStyle="1" w:styleId="Title3">
    <w:name w:val="Title 3"/>
    <w:basedOn w:val="Normal"/>
    <w:uiPriority w:val="31"/>
    <w:qFormat/>
    <w:rsid w:val="00A746F1"/>
    <w:pPr>
      <w:spacing w:after="240"/>
      <w:jc w:val="center"/>
    </w:pPr>
    <w:rPr>
      <w:rFonts w:eastAsia="Times New Roman"/>
      <w:caps/>
      <w:szCs w:val="20"/>
    </w:rPr>
  </w:style>
  <w:style w:type="paragraph" w:customStyle="1" w:styleId="Title4">
    <w:name w:val="Title 4"/>
    <w:basedOn w:val="Normal"/>
    <w:next w:val="Normal"/>
    <w:uiPriority w:val="31"/>
    <w:rsid w:val="00A746F1"/>
    <w:pPr>
      <w:keepNext/>
      <w:keepLines/>
      <w:suppressAutoHyphens/>
      <w:spacing w:after="240"/>
      <w:jc w:val="center"/>
    </w:pPr>
    <w:rPr>
      <w:rFonts w:eastAsia="Times New Roman"/>
      <w:szCs w:val="20"/>
    </w:rPr>
  </w:style>
  <w:style w:type="character" w:styleId="IntenseEmphasis">
    <w:name w:val="Intense Emphasis"/>
    <w:basedOn w:val="DefaultParagraphFont"/>
    <w:uiPriority w:val="99"/>
    <w:qFormat/>
    <w:rsid w:val="00A746F1"/>
    <w:rPr>
      <w:b/>
      <w:bCs/>
      <w:i/>
      <w:iCs/>
      <w:color w:val="auto"/>
    </w:rPr>
  </w:style>
  <w:style w:type="paragraph" w:styleId="IntenseQuote">
    <w:name w:val="Intense Quote"/>
    <w:basedOn w:val="Normal"/>
    <w:next w:val="Normal"/>
    <w:link w:val="IntenseQuoteChar"/>
    <w:uiPriority w:val="99"/>
    <w:qFormat/>
    <w:rsid w:val="00A746F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A746F1"/>
    <w:rPr>
      <w:rFonts w:cstheme="minorBidi"/>
      <w:b/>
      <w:bCs/>
      <w:i/>
      <w:iCs/>
      <w:sz w:val="24"/>
      <w:szCs w:val="24"/>
    </w:rPr>
  </w:style>
  <w:style w:type="character" w:styleId="IntenseReference">
    <w:name w:val="Intense Reference"/>
    <w:basedOn w:val="DefaultParagraphFont"/>
    <w:uiPriority w:val="99"/>
    <w:qFormat/>
    <w:rsid w:val="00A746F1"/>
    <w:rPr>
      <w:b/>
      <w:bCs/>
      <w:smallCaps/>
      <w:color w:val="auto"/>
      <w:spacing w:val="5"/>
      <w:u w:val="single"/>
    </w:rPr>
  </w:style>
  <w:style w:type="character" w:styleId="SubtleReference">
    <w:name w:val="Subtle Reference"/>
    <w:basedOn w:val="DefaultParagraphFont"/>
    <w:uiPriority w:val="99"/>
    <w:qFormat/>
    <w:rsid w:val="00A746F1"/>
    <w:rPr>
      <w:smallCaps/>
      <w:color w:val="auto"/>
      <w:u w:val="single"/>
    </w:rPr>
  </w:style>
  <w:style w:type="paragraph" w:styleId="TOAHeading">
    <w:name w:val="toa heading"/>
    <w:basedOn w:val="Normal"/>
    <w:next w:val="Normal"/>
    <w:uiPriority w:val="99"/>
    <w:rsid w:val="00A746F1"/>
    <w:pPr>
      <w:spacing w:before="120"/>
    </w:pPr>
    <w:rPr>
      <w:rFonts w:eastAsia="Times New Roman"/>
      <w:b/>
      <w:bCs/>
    </w:rPr>
  </w:style>
  <w:style w:type="character" w:styleId="SubtleEmphasis">
    <w:name w:val="Subtle Emphasis"/>
    <w:basedOn w:val="DefaultParagraphFont"/>
    <w:uiPriority w:val="99"/>
    <w:qFormat/>
    <w:rsid w:val="00A746F1"/>
    <w:rPr>
      <w:i/>
      <w:iCs/>
      <w:color w:val="auto"/>
    </w:rPr>
  </w:style>
  <w:style w:type="paragraph" w:styleId="BlockText">
    <w:name w:val="Block Text"/>
    <w:basedOn w:val="Normal"/>
    <w:uiPriority w:val="99"/>
    <w:rsid w:val="00A746F1"/>
    <w:pPr>
      <w:ind w:left="1152" w:right="1152"/>
    </w:pPr>
    <w:rPr>
      <w:rFonts w:eastAsia="Times New Roman"/>
      <w:i/>
      <w:iCs/>
    </w:rPr>
  </w:style>
  <w:style w:type="paragraph" w:styleId="Caption">
    <w:name w:val="caption"/>
    <w:basedOn w:val="Normal"/>
    <w:next w:val="Normal"/>
    <w:uiPriority w:val="99"/>
    <w:semiHidden/>
    <w:qFormat/>
    <w:rsid w:val="00A746F1"/>
    <w:pPr>
      <w:spacing w:after="200"/>
    </w:pPr>
    <w:rPr>
      <w:b/>
      <w:bCs/>
      <w:szCs w:val="18"/>
    </w:rPr>
  </w:style>
  <w:style w:type="character" w:styleId="BookTitle">
    <w:name w:val="Book Title"/>
    <w:basedOn w:val="DefaultParagraphFont"/>
    <w:uiPriority w:val="99"/>
    <w:qFormat/>
    <w:rsid w:val="00A746F1"/>
    <w:rPr>
      <w:b/>
      <w:bCs/>
      <w:smallCaps/>
      <w:spacing w:val="5"/>
    </w:rPr>
  </w:style>
  <w:style w:type="paragraph" w:customStyle="1" w:styleId="Spacing">
    <w:name w:val="Spacing"/>
    <w:basedOn w:val="Normal"/>
    <w:qFormat/>
    <w:rsid w:val="00A746F1"/>
    <w:pPr>
      <w:spacing w:after="240"/>
    </w:pPr>
  </w:style>
  <w:style w:type="paragraph" w:styleId="NoSpacing">
    <w:name w:val="No Spacing"/>
    <w:basedOn w:val="Normal"/>
    <w:uiPriority w:val="98"/>
    <w:rsid w:val="00A746F1"/>
  </w:style>
  <w:style w:type="paragraph" w:styleId="Header">
    <w:name w:val="header"/>
    <w:basedOn w:val="Normal"/>
    <w:link w:val="HeaderChar"/>
    <w:rsid w:val="00F21374"/>
    <w:pPr>
      <w:tabs>
        <w:tab w:val="center" w:pos="4680"/>
        <w:tab w:val="right" w:pos="9360"/>
      </w:tabs>
    </w:pPr>
  </w:style>
  <w:style w:type="character" w:customStyle="1" w:styleId="HeaderChar">
    <w:name w:val="Header Char"/>
    <w:basedOn w:val="DefaultParagraphFont"/>
    <w:link w:val="Header"/>
    <w:rsid w:val="00F21374"/>
    <w:rPr>
      <w:rFonts w:eastAsia="Calibri"/>
      <w:sz w:val="24"/>
      <w:szCs w:val="24"/>
    </w:rPr>
  </w:style>
  <w:style w:type="paragraph" w:styleId="Footer">
    <w:name w:val="footer"/>
    <w:basedOn w:val="Normal"/>
    <w:link w:val="FooterChar"/>
    <w:uiPriority w:val="99"/>
    <w:rsid w:val="00F21374"/>
    <w:pPr>
      <w:tabs>
        <w:tab w:val="center" w:pos="4680"/>
        <w:tab w:val="right" w:pos="9360"/>
      </w:tabs>
    </w:pPr>
  </w:style>
  <w:style w:type="character" w:customStyle="1" w:styleId="FooterChar">
    <w:name w:val="Footer Char"/>
    <w:basedOn w:val="DefaultParagraphFont"/>
    <w:link w:val="Footer"/>
    <w:uiPriority w:val="99"/>
    <w:rsid w:val="00F21374"/>
    <w:rPr>
      <w:rFonts w:eastAsia="Calibri"/>
      <w:sz w:val="24"/>
      <w:szCs w:val="24"/>
    </w:rPr>
  </w:style>
  <w:style w:type="character" w:styleId="Hyperlink">
    <w:name w:val="Hyperlink"/>
    <w:uiPriority w:val="99"/>
    <w:rsid w:val="00462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_rels/header3.xml.rels>&#65279;<?xml version="1.0" encoding="UTF-8" standalone="yes"?>
<Relationships xmlns="http://schemas.openxmlformats.org/package/2006/relationships">
  <Relationship Id="rId1" Type="http://schemas.openxmlformats.org/officeDocument/2006/relationships/hyperlink" Target="mailto:cfox@mcguirewoods.com"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4056</Words>
  <Characters>19972</Characters>
  <Application>Microsoft Office Word</Application>
  <DocSecurity>0</DocSecurity>
  <Lines>1598</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71758433-2908-4dde-9ca9-47e897cf0b3e</vt:lpwstr>
  </property>
</Properties>
</file>